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characteristics stratified by heart failure and pulmonary hypertension phenotype**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9"/>
        <w:gridCol w:w="1841"/>
        <w:gridCol w:w="1475"/>
        <w:gridCol w:w="1475"/>
        <w:gridCol w:w="1475"/>
      </w:tblGrid>
      <w:tr>
        <w:trPr>
          <w:trHeight w:val="74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HF/PHTN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HF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350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 (16.0)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 (16.1)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 (17.0)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 (16.2)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 (69%)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(31%)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Cycling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ICE/research bike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(1.4%)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bike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(0.6%)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Other/unspecified cycling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 (97%)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Supine bike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(0.6%)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Upright bike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(0.8%)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 (5.7)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surface area, 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(0.3)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Lean 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 (6.0)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(0.4)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VO2, mL/kg/min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 (4.4)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 (9.0)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VO2, % predicted (FRIEND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 (35.6)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 (31.7)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 (33.7)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VO2, % predicted (Wasserman 2005)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 (41.5)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 (45.3)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 (44.0)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heart rate, %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 (15.9)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 (17.2)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rate recovery at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 (12.9)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 (12.6)</w:t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VE/VCO2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 (9.6)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 (9.1)</w:t>
            </w:r>
          </w:p>
        </w:tc>
      </w:tr>
      <w:tr>
        <w:trPr>
          <w:trHeight w:val="616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(1.0)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 (0.5)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(0.8)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2026-03-24T22:46:03Z</dcterms:modified>
  <cp:category/>
</cp:coreProperties>
</file>