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2. Post-CPX clinical outcomes stratified by heart failure and pulmonary hypertension phenotype**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6"/>
        <w:gridCol w:w="1841"/>
        <w:gridCol w:w="1426"/>
        <w:gridCol w:w="1303"/>
        <w:gridCol w:w="1181"/>
        <w:gridCol w:w="1426"/>
      </w:tblGrid>
      <w:tr>
        <w:trPr>
          <w:trHeight w:val="74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HF/PHTN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HF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350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PHTN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Primary composite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(15%)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(41%)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(52%)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 (32%)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Ventricular arrhythmia composite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(40%)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 (17%)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Acute heart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 (72%)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Cardiac arrest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(4.4%)</w:t>
            </w:r>
          </w:p>
        </w:tc>
      </w:tr>
      <w:tr>
        <w:trPr>
          <w:trHeight w:val="616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transplant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(54%)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(77%)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 (40%)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2026-03-24T22:46:05Z</dcterms:modified>
  <cp:category/>
</cp:coreProperties>
</file>