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jc w:val="center"/>
      </w:pPr>
      <w:r>
        <w:rPr>
          <w:rFonts w:ascii="Times New Roman" w:cs="Times New Roman" w:eastAsia="Times New Roman" w:hAnsi="Times New Roman"/>
          <w:b/>
          <w:bCs/>
          <w:caps/>
          <w:sz w:val="28"/>
          <w:szCs w:val="28"/>
        </w:rPr>
        <w:t xml:space="preserve">METHODS</w:t>
      </w:r>
    </w:p>
    <w:p>
      <w:pPr>
        <w:spacing w:after="0" w:before="240" w:line="480"/>
      </w:pPr>
      <w:r>
        <w:rPr>
          <w:rFonts w:ascii="Times New Roman" w:cs="Times New Roman" w:eastAsia="Times New Roman" w:hAnsi="Times New Roman"/>
          <w:b/>
          <w:bCs/>
          <w:i/>
          <w:iCs/>
          <w:sz w:val="24"/>
          <w:szCs w:val="24"/>
        </w:rPr>
        <w:t xml:space="preserve">Ethical Approval.</w:t>
      </w:r>
    </w:p>
    <w:p>
      <w:pPr>
        <w:spacing w:after="0" w:line="480"/>
        <w:ind/>
        <w:jc w:val="both"/>
      </w:pPr>
      <w:r>
        <w:rPr>
          <w:rFonts w:ascii="Times New Roman" w:cs="Times New Roman" w:eastAsia="Times New Roman" w:hAnsi="Times New Roman"/>
          <w:sz w:val="24"/>
          <w:szCs w:val="24"/>
        </w:rPr>
        <w:t xml:space="preserve">The study protocol was reviewed and approved by the Stanford University Institutional Review Board (IRB protocol [XXXX]). Informed consent was obtained from all participants whose data were curated for inclusion in the current analysis. All patient data were de-identified to maintain privacy and confidentiality.</w:t>
      </w:r>
    </w:p>
    <w:p>
      <w:pPr>
        <w:spacing w:after="0" w:before="240" w:line="480"/>
      </w:pPr>
      <w:r>
        <w:rPr>
          <w:rFonts w:ascii="Times New Roman" w:cs="Times New Roman" w:eastAsia="Times New Roman" w:hAnsi="Times New Roman"/>
          <w:b/>
          <w:bCs/>
          <w:i/>
          <w:iCs/>
          <w:sz w:val="24"/>
          <w:szCs w:val="24"/>
        </w:rPr>
        <w:t xml:space="preserve">Study Population and Patient Selection.</w:t>
      </w:r>
    </w:p>
    <w:p>
      <w:pPr>
        <w:spacing w:after="0" w:line="480"/>
        <w:ind/>
        <w:jc w:val="both"/>
      </w:pPr>
      <w:r>
        <w:rPr>
          <w:rFonts w:ascii="Times New Roman" w:cs="Times New Roman" w:eastAsia="Times New Roman" w:hAnsi="Times New Roman"/>
          <w:sz w:val="24"/>
          <w:szCs w:val="24"/>
        </w:rPr>
        <w:t xml:space="preserve">We performed a retrospective analysis of a longitudinal cohort of patients with phenotypically manifested hypertrophic cardiomyopathy (HCM) drawn from a prospective exercise testing registry at Stanford University Medical Center. The registry contained 5,167 cardiopulmonary exercise tests (CPETs) across 3,536 patients. We restricted our analysis to patients with serial testing (≥2 CPETs; n = 866 patients, 2,497 tests) to enable longitudinal modeling. Further inclusion criteria required a clinical diagnosis of HCM and adequate peak effort, defined as a respiratory exchange ratio (RER) ≥1.0 (n = 425 patients, 1,320 tests). To limit physiologic confounding by extracardiac comorbidities, patients with documented coronary artery disease, chronic obstructive pulmonary disease, or interstitial lung disease were excluded, yielding 396 patients (1,203 tests). Finally, each CPET was aligned with the closest prior resting echocardiogram within a 365-day window, producing a final analytic cohort of 367 patients contributing 1,098 serial CPET–echocardiographic observation pairs (</w:t>
      </w: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w:t>
      </w:r>
    </w:p>
    <w:p>
      <w:pPr>
        <w:spacing w:after="0" w:before="240" w:line="480"/>
      </w:pPr>
      <w:r>
        <w:rPr>
          <w:rFonts w:ascii="Times New Roman" w:cs="Times New Roman" w:eastAsia="Times New Roman" w:hAnsi="Times New Roman"/>
          <w:b/>
          <w:bCs/>
          <w:i/>
          <w:iCs/>
          <w:sz w:val="24"/>
          <w:szCs w:val="24"/>
        </w:rPr>
        <w:t xml:space="preserve">Diastolic Assessment via Transthoracic Echocardiography.</w:t>
      </w:r>
    </w:p>
    <w:p>
      <w:pPr>
        <w:spacing w:after="0" w:line="480"/>
        <w:ind/>
        <w:jc w:val="both"/>
      </w:pPr>
      <w:r>
        <w:rPr>
          <w:rFonts w:ascii="Times New Roman" w:cs="Times New Roman" w:eastAsia="Times New Roman" w:hAnsi="Times New Roman"/>
          <w:sz w:val="24"/>
          <w:szCs w:val="24"/>
        </w:rPr>
        <w:t xml:space="preserve">Comprehensive transthoracic echocardiography was performed using a standardized clinical protocol, as previously described. </w:t>
      </w:r>
      <w:r>
        <w:rPr>
          <w:rFonts w:ascii="Times New Roman" w:cs="Times New Roman" w:eastAsia="Times New Roman" w:hAnsi="Times New Roman"/>
          <w:i/>
          <w:iCs/>
          <w:sz w:val="24"/>
          <w:szCs w:val="24"/>
        </w:rPr>
        <w:t xml:space="preserve">Post hoc</w:t>
      </w:r>
      <w:r>
        <w:rPr>
          <w:rFonts w:ascii="Times New Roman" w:cs="Times New Roman" w:eastAsia="Times New Roman" w:hAnsi="Times New Roman"/>
          <w:sz w:val="24"/>
          <w:szCs w:val="24"/>
        </w:rPr>
        <w:t xml:space="preserve"> diastolic functional analysis was classified using the 2025 American Society of Echocardiography (ASE) recommendations, which define four primary diagnostic features: average E/e’ ratio (&gt;14), pulmonary venous Ar-A duration difference (≥30 ms), peak tricuspid regurgitation velocity (&gt;280 cm/s), and left atrial maximum volume index (&gt;34 mL/m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Because pulmonary venous Ar-A duration difference was not routinely available in our dataset, grading was performed using the remaining three criteria. Among these, the hierarchical algorithm classified patients as: </w:t>
      </w:r>
      <w:r>
        <w:rPr>
          <w:rFonts w:ascii="Times New Roman" w:cs="Times New Roman" w:eastAsia="Times New Roman" w:hAnsi="Times New Roman"/>
          <w:b/>
          <w:bCs/>
          <w:sz w:val="24"/>
          <w:szCs w:val="24"/>
        </w:rPr>
        <w:t xml:space="preserve">Normal</w:t>
      </w:r>
      <w:r>
        <w:rPr>
          <w:rFonts w:ascii="Times New Roman" w:cs="Times New Roman" w:eastAsia="Times New Roman" w:hAnsi="Times New Roman"/>
          <w:sz w:val="24"/>
          <w:szCs w:val="24"/>
        </w:rPr>
        <w:t xml:space="preserve"> (≤1 abnormal criterion), </w:t>
      </w:r>
      <w:r>
        <w:rPr>
          <w:rFonts w:ascii="Times New Roman" w:cs="Times New Roman" w:eastAsia="Times New Roman" w:hAnsi="Times New Roman"/>
          <w:b/>
          <w:bCs/>
          <w:sz w:val="24"/>
          <w:szCs w:val="24"/>
        </w:rPr>
        <w:t xml:space="preserve">Grade I</w:t>
      </w:r>
      <w:r>
        <w:rPr>
          <w:rFonts w:ascii="Times New Roman" w:cs="Times New Roman" w:eastAsia="Times New Roman" w:hAnsi="Times New Roman"/>
          <w:sz w:val="24"/>
          <w:szCs w:val="24"/>
        </w:rPr>
        <w:t xml:space="preserve"> (E/e’ &gt;14 alone, or ≥2 non-E/e’ criteria met), </w:t>
      </w:r>
      <w:r>
        <w:rPr>
          <w:rFonts w:ascii="Times New Roman" w:cs="Times New Roman" w:eastAsia="Times New Roman" w:hAnsi="Times New Roman"/>
          <w:b/>
          <w:bCs/>
          <w:sz w:val="24"/>
          <w:szCs w:val="24"/>
        </w:rPr>
        <w:t xml:space="preserve">Grade II</w:t>
      </w:r>
      <w:r>
        <w:rPr>
          <w:rFonts w:ascii="Times New Roman" w:cs="Times New Roman" w:eastAsia="Times New Roman" w:hAnsi="Times New Roman"/>
          <w:sz w:val="24"/>
          <w:szCs w:val="24"/>
        </w:rPr>
        <w:t xml:space="preserve"> (E/e’ &gt;14 plus one additional abnormal criterion), or </w:t>
      </w:r>
      <w:r>
        <w:rPr>
          <w:rFonts w:ascii="Times New Roman" w:cs="Times New Roman" w:eastAsia="Times New Roman" w:hAnsi="Times New Roman"/>
          <w:b/>
          <w:bCs/>
          <w:sz w:val="24"/>
          <w:szCs w:val="24"/>
        </w:rPr>
        <w:t xml:space="preserve">Grade III</w:t>
      </w:r>
      <w:r>
        <w:rPr>
          <w:rFonts w:ascii="Times New Roman" w:cs="Times New Roman" w:eastAsia="Times New Roman" w:hAnsi="Times New Roman"/>
          <w:sz w:val="24"/>
          <w:szCs w:val="24"/>
        </w:rPr>
        <w:t xml:space="preserve"> (all three criteria abnormal). Patients with fewer than two evaluable criteria were classified as </w:t>
      </w:r>
      <w:r>
        <w:rPr>
          <w:rFonts w:ascii="Times New Roman" w:cs="Times New Roman" w:eastAsia="Times New Roman" w:hAnsi="Times New Roman"/>
          <w:b/>
          <w:bCs/>
          <w:sz w:val="24"/>
          <w:szCs w:val="24"/>
        </w:rPr>
        <w:t xml:space="preserve">Indeterminate</w:t>
      </w:r>
      <w:r>
        <w:rPr>
          <w:rFonts w:ascii="Times New Roman" w:cs="Times New Roman" w:eastAsia="Times New Roman" w:hAnsi="Times New Roman"/>
          <w:sz w:val="24"/>
          <w:szCs w:val="24"/>
        </w:rPr>
        <w:t xml:space="preserve">. Additional echocardiographic variables included mitral inflow velocities (E and A waves), septal and lateral e’ velocities, mitral deceleration time, isovolumic relaxation time, left ventricular wall thicknesses, left ventricular outflow tract gradient, and left ventricular ejection fraction (LVEF).</w:t>
      </w:r>
    </w:p>
    <w:p>
      <w:pPr>
        <w:spacing w:after="0" w:before="240" w:line="480"/>
      </w:pPr>
      <w:r>
        <w:rPr>
          <w:rFonts w:ascii="Times New Roman" w:cs="Times New Roman" w:eastAsia="Times New Roman" w:hAnsi="Times New Roman"/>
          <w:b/>
          <w:bCs/>
          <w:i/>
          <w:iCs/>
          <w:sz w:val="24"/>
          <w:szCs w:val="24"/>
        </w:rPr>
        <w:t xml:space="preserve">Cardiopulmonary Exercise Testing (CPET).</w:t>
      </w:r>
    </w:p>
    <w:p>
      <w:pPr>
        <w:spacing w:after="0" w:line="480"/>
        <w:ind/>
        <w:jc w:val="both"/>
      </w:pPr>
      <w:r>
        <w:rPr>
          <w:rFonts w:ascii="Times New Roman" w:cs="Times New Roman" w:eastAsia="Times New Roman" w:hAnsi="Times New Roman"/>
          <w:sz w:val="24"/>
          <w:szCs w:val="24"/>
        </w:rPr>
        <w:t xml:space="preserve">Symptom-limited cardiopulmonary exercise testing was performed using a standardized ramp protocol on a treadmill with continuous electrocardiographic and breath-by-breath gas exchange monitoring. Peak oxygen consumption (peak VO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was defined as the highest 20-second averaged value during the final stage of exercise and expressed as percent predicted using the FRIEND 2.0 age- and sex-adjusted reference equations. Secondary CPET parameters included the ventilatory efficiency slope (VE/VCO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slope), calculated as the slope of the linear regression of minute ventilation on carbon dioxide output, and heart rate recovery (HRR) measured at one minute after exercise termination.</w:t>
      </w:r>
    </w:p>
    <w:p>
      <w:pPr>
        <w:spacing w:after="0" w:before="240" w:line="480"/>
      </w:pPr>
      <w:r>
        <w:rPr>
          <w:rFonts w:ascii="Times New Roman" w:cs="Times New Roman" w:eastAsia="Times New Roman" w:hAnsi="Times New Roman"/>
          <w:b/>
          <w:bCs/>
          <w:i/>
          <w:iCs/>
          <w:sz w:val="24"/>
          <w:szCs w:val="24"/>
        </w:rPr>
        <w:t xml:space="preserve">Cross-Sectional Association Between Individual Diastolic Indices and Cardiopulmonary Fitness.</w:t>
      </w:r>
    </w:p>
    <w:p>
      <w:pPr>
        <w:spacing w:after="0" w:line="480"/>
        <w:ind/>
        <w:jc w:val="both"/>
      </w:pPr>
      <w:r>
        <w:rPr>
          <w:rFonts w:ascii="Times New Roman" w:cs="Times New Roman" w:eastAsia="Times New Roman" w:hAnsi="Times New Roman"/>
          <w:sz w:val="24"/>
          <w:szCs w:val="24"/>
        </w:rPr>
        <w:t xml:space="preserve">To evaluate the continuous relationship between individual echocardiographic diastolic indices and cardiopulmonary fitness, we fit a series of multivariable linear regression models with natural cubic splines (3 degrees of freedom) for each diastolic parameter. All models adjusted for age, sex, and lean body mass index (LBMI, calculated as lean body mass [NHANES equation] divided by height</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The primary outcome was peak VO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(FRIEND 2.0 % predicted); the secondary outcome was VE/VCO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slope. The incremental contribution of each diastolic index was assessed by likelihood ratio testing (LRT), comparing the full model (base covariates plus diastolic spline) against the reduced model (base covariates only). Model discrimination was further evaluated using the difference in Akaike Information Criterion (ΔAIC), with negative values indicating improved fit. Eleven diastolic indices were evaluated: E/e’ (average, medial, and lateral), left atrial volume index, peak tricuspid regurgitation velocity, mitral E/A ratio, mitral deceleration time, mitral A-wave duration, mitral A-wave point velocity, and medial and lateral peak E velocities.</w:t>
      </w:r>
    </w:p>
    <w:p>
      <w:pPr>
        <w:spacing w:after="0" w:before="240" w:line="480"/>
      </w:pPr>
      <w:r>
        <w:rPr>
          <w:rFonts w:ascii="Times New Roman" w:cs="Times New Roman" w:eastAsia="Times New Roman" w:hAnsi="Times New Roman"/>
          <w:b/>
          <w:bCs/>
          <w:i/>
          <w:iCs/>
          <w:sz w:val="24"/>
          <w:szCs w:val="24"/>
        </w:rPr>
        <w:t xml:space="preserve">GAMLSS-Based Continuous Modeling (SEAMLSS Framework).</w:t>
      </w:r>
    </w:p>
    <w:p>
      <w:pPr>
        <w:spacing w:after="0" w:line="480"/>
        <w:ind/>
        <w:jc w:val="both"/>
      </w:pPr>
      <w:r>
        <w:rPr>
          <w:rFonts w:ascii="Times New Roman" w:cs="Times New Roman" w:eastAsia="Times New Roman" w:hAnsi="Times New Roman"/>
          <w:sz w:val="24"/>
          <w:szCs w:val="24"/>
        </w:rPr>
        <w:t xml:space="preserve">To derive a continuous, distributional characterization of the relationship between diastolic indices and cardiopulmonary fitness, we employed the Semiparametric Additive Model for Location, Scale, and Shape (SEAMLSS) framework within the Generalized Additive Models for Location, Scale, and Shape (GAMLSS) paradigm. Unlike standard reference equations that employ the LMS method (Box-Cox transformation), our approach uses a piecewise-linear mapping to adjust for distributional skewness while avoiding the global distortion inherent in power transformations — the so-called “butterfly effect,” whereby a single global power parameter λ can conflate values within the normal range when correcting for extreme tail behavior.</w:t>
      </w:r>
    </w:p>
    <w:p>
      <w:pPr>
        <w:spacing w:after="0" w:line="480"/>
        <w:ind/>
        <w:jc w:val="both"/>
      </w:pPr>
      <w:r>
        <w:rPr>
          <w:rFonts w:ascii="Times New Roman" w:cs="Times New Roman" w:eastAsia="Times New Roman" w:hAnsi="Times New Roman"/>
          <w:sz w:val="24"/>
          <w:szCs w:val="24"/>
        </w:rPr>
        <w:t xml:space="preserve">Separate GAMLSS models were fit for three key diastolic parameters: average E/e’, left atrial volume index (LAVI), and peak tricuspid regurgitation velocity (TR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Each model included cubic spline smooth functions of the diastolic index (3 degrees of freedom) and adjusted for age, sex, and LBMI. Model convergence was confirmed for all three specifications. The conditional mean function μ(</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from the best-fitting model (by AIC) was used to derive the SEAMLSS Z-score, defined as the log-transformed ratio of observed to predicted peak VO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w:t>
      </w:r>
    </w:p>
    <w:p>
      <w:pPr>
        <w:spacing w:after="120" w:before="120" w:line="480"/>
        <w:jc w:val="center"/>
      </w:pP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ln(</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μ(</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w:t>
      </w:r>
    </w:p>
    <w:p>
      <w:pPr>
        <w:spacing w:after="0" w:line="480"/>
        <w:ind/>
        <w:jc w:val="both"/>
      </w:pPr>
      <w:r>
        <w:rPr>
          <w:rFonts w:ascii="Times New Roman" w:cs="Times New Roman" w:eastAsia="Times New Roman" w:hAnsi="Times New Roman"/>
          <w:sz w:val="24"/>
          <w:szCs w:val="24"/>
        </w:rPr>
        <w:t xml:space="preserve">This Z-score provides a stable relative metric of fitness deviation from the population-expected value, accounting for the distributional properties of peak VO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without the nonlinear distortion introduced by global power transformations.</w:t>
      </w:r>
    </w:p>
    <w:p>
      <w:pPr>
        <w:spacing w:after="0" w:before="240" w:line="480"/>
      </w:pPr>
      <w:r>
        <w:rPr>
          <w:rFonts w:ascii="Times New Roman" w:cs="Times New Roman" w:eastAsia="Times New Roman" w:hAnsi="Times New Roman"/>
          <w:b/>
          <w:bCs/>
          <w:i/>
          <w:iCs/>
          <w:sz w:val="24"/>
          <w:szCs w:val="24"/>
        </w:rPr>
        <w:t xml:space="preserve">Longitudinal Modeling of Cardiopulmonary Fitness Trajectories.</w:t>
      </w:r>
    </w:p>
    <w:p>
      <w:pPr>
        <w:spacing w:after="0" w:line="480"/>
        <w:ind/>
        <w:jc w:val="both"/>
      </w:pPr>
      <w:r>
        <w:rPr>
          <w:rFonts w:ascii="Times New Roman" w:cs="Times New Roman" w:eastAsia="Times New Roman" w:hAnsi="Times New Roman"/>
          <w:sz w:val="24"/>
          <w:szCs w:val="24"/>
        </w:rPr>
        <w:t xml:space="preserve">Serial CPET data were analyzed using a Generalized Additive Mixed Model (GAMM) to determine whether baseline diastolic severity, quantified by the SEAMLSS-derived Z-score, predicted the longitudinal trajectory of peak VO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predicted). The GAMM extends the standard linear mixed-effects framework by replacing parametric fixed effects of time with penalized nonparametric regression splines, allowing the data to determine the shape of the trajectory without imposing a rigid linear assumption.</w:t>
      </w:r>
    </w:p>
    <w:p>
      <w:pPr>
        <w:spacing w:after="0" w:line="480"/>
        <w:ind/>
        <w:jc w:val="both"/>
      </w:pPr>
      <w:r>
        <w:rPr>
          <w:rFonts w:ascii="Times New Roman" w:cs="Times New Roman" w:eastAsia="Times New Roman" w:hAnsi="Times New Roman"/>
          <w:sz w:val="24"/>
          <w:szCs w:val="24"/>
        </w:rPr>
        <w:t xml:space="preserve">The model was specified as follows: peak VO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predicted) was the dependent variable, with parametric covariates including age (years), sex, and LBMI (kg/m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The nonparametric components included: (1) a smooth function of time (years from baseline,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(time)), capturing the overall nonlinear trajectory of fitness decline; (2) a smooth function of the SEAMLSS diastolic Z-score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(dd_zscore)), capturing any marginal static effect of diastolic dysfunction on fitness level; and (3) a tensor product interaction (</w:t>
      </w:r>
      <w:r>
        <w:rPr>
          <w:rFonts w:ascii="Times New Roman" w:cs="Times New Roman" w:eastAsia="Times New Roman" w:hAnsi="Times New Roman"/>
          <w:i/>
          <w:iCs/>
          <w:sz w:val="24"/>
          <w:szCs w:val="24"/>
        </w:rPr>
        <w:t xml:space="preserve">ti</w:t>
      </w:r>
      <w:r>
        <w:rPr>
          <w:rFonts w:ascii="Times New Roman" w:cs="Times New Roman" w:eastAsia="Times New Roman" w:hAnsi="Times New Roman"/>
          <w:sz w:val="24"/>
          <w:szCs w:val="24"/>
        </w:rPr>
        <w:t xml:space="preserve">(time, dd_zscore)), which tests whether the shape of the fitness trajectory diverges as a function of baseline diastolic severity. A random intercept and random smoother for each subject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(ID, bs = ‘re’)) accounted for within-patient correlation and individual heterogeneity in decline patterns. Model fit was assessed using AIC, with the nonlinear GAMM demonstrating superior fit compared to nested linear alternatives.</w:t>
      </w:r>
    </w:p>
    <w:p>
      <w:pPr>
        <w:spacing w:after="0" w:before="240" w:line="480"/>
      </w:pPr>
      <w:r>
        <w:rPr>
          <w:rFonts w:ascii="Times New Roman" w:cs="Times New Roman" w:eastAsia="Times New Roman" w:hAnsi="Times New Roman"/>
          <w:b/>
          <w:bCs/>
          <w:i/>
          <w:iCs/>
          <w:sz w:val="24"/>
          <w:szCs w:val="24"/>
        </w:rPr>
        <w:t xml:space="preserve">Heart Failure Outcomes.</w:t>
      </w:r>
    </w:p>
    <w:p>
      <w:pPr>
        <w:spacing w:after="0" w:line="480"/>
        <w:ind/>
        <w:jc w:val="both"/>
      </w:pPr>
      <w:r>
        <w:rPr>
          <w:rFonts w:ascii="Times New Roman" w:cs="Times New Roman" w:eastAsia="Times New Roman" w:hAnsi="Times New Roman"/>
          <w:sz w:val="24"/>
          <w:szCs w:val="24"/>
        </w:rPr>
        <w:t xml:space="preserve">The composite primary endpoint was defined as the first occurrence of any of the following: acute heart failure hospitalization, chronic heart failure diagnosis, heart transplantation, or all-cause death. Event adjudication was performed by chart review. Time-to-event analysis was performed using multivariable Cox proportional hazards regression. The primary exposure was ASE 2025 diastolic grade (Normal [reference], Grade I, Grade II, Grade III, and Indeterminate), with adjustment for age, sex, and LBMI. Hazard ratios (HR) are reported with 95% confidence intervals. Proportional hazards assumptions were assessed by inspection of scaled Schoenfeld residuals. A two-sided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0.05 was considered statistically significant.</w:t>
      </w:r>
    </w:p>
    <w:p>
      <w:pPr>
        <w:spacing w:after="0" w:before="240" w:line="480"/>
      </w:pPr>
      <w:r>
        <w:rPr>
          <w:rFonts w:ascii="Times New Roman" w:cs="Times New Roman" w:eastAsia="Times New Roman" w:hAnsi="Times New Roman"/>
          <w:b/>
          <w:bCs/>
          <w:i/>
          <w:iCs/>
          <w:sz w:val="24"/>
          <w:szCs w:val="24"/>
        </w:rPr>
        <w:t xml:space="preserve">Statistical Software.</w:t>
      </w:r>
    </w:p>
    <w:p>
      <w:pPr>
        <w:spacing w:after="0" w:line="480"/>
        <w:ind/>
        <w:jc w:val="both"/>
      </w:pPr>
      <w:r>
        <w:rPr>
          <w:rFonts w:ascii="Times New Roman" w:cs="Times New Roman" w:eastAsia="Times New Roman" w:hAnsi="Times New Roman"/>
          <w:sz w:val="24"/>
          <w:szCs w:val="24"/>
        </w:rPr>
        <w:t xml:space="preserve">All analyses were performed in R (version 4.4.2; R Foundation for Statistical Computing, Vienna, Austria). GAMLSS models were fit using the </w:t>
      </w:r>
      <w:r>
        <w:rPr>
          <w:rFonts w:ascii="Times New Roman" w:cs="Times New Roman" w:eastAsia="Times New Roman" w:hAnsi="Times New Roman"/>
          <w:i/>
          <w:iCs/>
          <w:sz w:val="24"/>
          <w:szCs w:val="24"/>
        </w:rPr>
        <w:t xml:space="preserve">gamlss</w:t>
      </w:r>
      <w:r>
        <w:rPr>
          <w:rFonts w:ascii="Times New Roman" w:cs="Times New Roman" w:eastAsia="Times New Roman" w:hAnsi="Times New Roman"/>
          <w:sz w:val="24"/>
          <w:szCs w:val="24"/>
        </w:rPr>
        <w:t xml:space="preserve"> package (version 5.4-22). GAMM models were fit using the </w:t>
      </w:r>
      <w:r>
        <w:rPr>
          <w:rFonts w:ascii="Times New Roman" w:cs="Times New Roman" w:eastAsia="Times New Roman" w:hAnsi="Times New Roman"/>
          <w:i/>
          <w:iCs/>
          <w:sz w:val="24"/>
          <w:szCs w:val="24"/>
        </w:rPr>
        <w:t xml:space="preserve">mgcv</w:t>
      </w:r>
      <w:r>
        <w:rPr>
          <w:rFonts w:ascii="Times New Roman" w:cs="Times New Roman" w:eastAsia="Times New Roman" w:hAnsi="Times New Roman"/>
          <w:sz w:val="24"/>
          <w:szCs w:val="24"/>
        </w:rPr>
        <w:t xml:space="preserve"> package (version 1.9-1). Cox proportional hazards regression was performed using the </w:t>
      </w:r>
      <w:r>
        <w:rPr>
          <w:rFonts w:ascii="Times New Roman" w:cs="Times New Roman" w:eastAsia="Times New Roman" w:hAnsi="Times New Roman"/>
          <w:i/>
          <w:iCs/>
          <w:sz w:val="24"/>
          <w:szCs w:val="24"/>
        </w:rPr>
        <w:t xml:space="preserve">survival</w:t>
      </w:r>
      <w:r>
        <w:rPr>
          <w:rFonts w:ascii="Times New Roman" w:cs="Times New Roman" w:eastAsia="Times New Roman" w:hAnsi="Times New Roman"/>
          <w:sz w:val="24"/>
          <w:szCs w:val="24"/>
        </w:rPr>
        <w:t xml:space="preserve"> package (version 3.7-0). Natural cubic splines for cross-sectional models were implemented using the </w:t>
      </w:r>
      <w:r>
        <w:rPr>
          <w:rFonts w:ascii="Times New Roman" w:cs="Times New Roman" w:eastAsia="Times New Roman" w:hAnsi="Times New Roman"/>
          <w:i/>
          <w:iCs/>
          <w:sz w:val="24"/>
          <w:szCs w:val="24"/>
        </w:rPr>
        <w:t xml:space="preserve">splines</w:t>
      </w:r>
      <w:r>
        <w:rPr>
          <w:rFonts w:ascii="Times New Roman" w:cs="Times New Roman" w:eastAsia="Times New Roman" w:hAnsi="Times New Roman"/>
          <w:sz w:val="24"/>
          <w:szCs w:val="24"/>
        </w:rPr>
        <w:t xml:space="preserve"> package. Figures were generated using </w:t>
      </w:r>
      <w:r>
        <w:rPr>
          <w:rFonts w:ascii="Times New Roman" w:cs="Times New Roman" w:eastAsia="Times New Roman" w:hAnsi="Times New Roman"/>
          <w:i/>
          <w:iCs/>
          <w:sz w:val="24"/>
          <w:szCs w:val="24"/>
        </w:rPr>
        <w:t xml:space="preserve">ggplot2</w:t>
      </w:r>
      <w:r>
        <w:rPr>
          <w:rFonts w:ascii="Times New Roman" w:cs="Times New Roman" w:eastAsia="Times New Roman" w:hAnsi="Times New Roman"/>
          <w:sz w:val="24"/>
          <w:szCs w:val="24"/>
        </w:rPr>
        <w:t xml:space="preserve"> (version 3.5.1) with publication-quality formatting. All code and reproducible analyses are available at [repository URL].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Pepin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2026-03-25T22:38:28.672Z</dcterms:created>
  <dcterms:modified xsi:type="dcterms:W3CDTF">2026-03-25T22:38:28.672Z</dcterms:modified>
</cp:coreProperties>
</file>

<file path=docProps/custom.xml><?xml version="1.0" encoding="utf-8"?>
<Properties xmlns="http://schemas.openxmlformats.org/officeDocument/2006/custom-properties" xmlns:vt="http://schemas.openxmlformats.org/officeDocument/2006/docPropsVTypes"/>
</file>