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Key longitudinal GAMM terms for Figure 4 continuous parameter-specific analyses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Baseline Parameter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GAMM Term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Effective df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9.48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2.08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E/e' smooth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5.21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1.13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baseline E/e' interaction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2.51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3.37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2.24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2.24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LAVi smooth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8.74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baseline LAVi interaction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0.15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(m/s)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8.33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4.19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TRVmax smooth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5.87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1.57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baseline TRVmax interaction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4.08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1.92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-3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slope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10.19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1.48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E/e' smooth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baseline E/e' interaction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3.78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1.10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7.99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4.13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LAVi smooth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1.04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baseline LAVi interaction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6.42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6.83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(m/s)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20.80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7.42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-6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TRVmax smooth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1.13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-3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baseline TRVmax interaction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2026-09-27T16:34:27Z</dcterms:modified>
  <cp:category/>
</cp:coreProperties>
</file>