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Supplemental Table. Complete longitudinal GAMM statistics underlying the supplemental parameter-specific Figure 4 binary-status analyses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Baseline Parameter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Sample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Term Class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 summary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406 / 139</w:t>
            </w:r>
          </w:p>
        </w:tc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vMerge w:val="restart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1.04; ref df = 1.04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5.86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E/e'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2.45; ref df = 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E/e'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-8.71; SE = 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0.29; SE =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0.91; SE = 0.30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3.05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19.01; SE = 3.92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4.86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42.43; SE = 10.07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4.21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352 / 124</w:t>
            </w: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1.07; ref df = 1.07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1.52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LAVi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1.10; ref df =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LAVi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-5.55; SE = 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0.33; SE =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1.04; SE = 0.32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3.26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16.70; SE = 3.96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4.21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35.82; SE = 10.21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3.51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(m/s)</w:t>
            </w: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344 / 112</w:t>
            </w: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1.09; ref df = 1.09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5.58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TRVmax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1.21; ref df =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TRVmax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-8.06; SE = 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0.164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0.22; SE = 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1.28; SE = 0.34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3.78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15.25; SE = 4.15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3.68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31.18; SE = 11.43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2.73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slope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404 / 139</w:t>
            </w: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1.04; ref df = 1.04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5.61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E/e'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1.03; ref df =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E/e'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0.00; SE =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0.12; SE = 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-0.10; SE = 0.08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-1.19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1.12; SE = 1.02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1.10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29.03; SE = 2.66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10.92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351 / 124</w:t>
            </w: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1.04; ref df = 1.04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0.43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LAVi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1.04; ref df =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LAVi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2.23; SE =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0.034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0.11; SE = 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-0.04; SE = 0.10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-0.41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0.70; SE = 1.15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0.61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28.21; SE = 3.11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9.08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(m/s)</w:t>
            </w: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 / 112</w:t>
            </w: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1.04; ref df = 1.04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19.07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TRVmax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1.07; ref df =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TRVmax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4.04; SE =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0.11; SE =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-0.16; SE = 0.10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-1.63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0.86; SE = 1.17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0.74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32.29; SE = 3.31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9.76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2026-09-27T16:34:28Z</dcterms:modified>
  <cp:category/>
</cp:coreProperties>
</file>