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14"/>
        <w:gridCol w:w="2733"/>
        <w:gridCol w:w="334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occurrence,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First composite event, n (%)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composite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(27.1%)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(27.1%)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Acute heart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(24.3%)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transplantation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All-cause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components on same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heart-failure diagnosis (not in composite)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Surgical myectomy (separate secondary outcome)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(11.7%)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2026-09-27T16:34:39Z</dcterms:modified>
  <cp:category/>
</cp:coreProperties>
</file>