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06"/>
        <w:gridCol w:w="2893"/>
        <w:gridCol w:w="778"/>
        <w:gridCol w:w="1083"/>
        <w:gridCol w:w="1976"/>
        <w:gridCol w:w="114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LVDD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 (1.86-4.00)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 (1.38-2.02)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(1.16-1.58)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TRVmax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(1.04-1.50)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Resting LVOT gradient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(0.83-1.29)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 septal thickness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(1.09-1.60)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V̇O2 (per SD lower)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(1.41-2.17)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V̇E/V̇CO2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(1.07-1.50)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 (1.86-4.00)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 (1.38-2.02)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(1.16-1.58)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TRVmax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(1.04-1.50)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Resting LVOT gradient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(0.83-1.29)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 septal thickness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(1.09-1.60)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V̇O2 (per SD lower)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(1.41-2.17)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V̇E/V̇CO2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(1.07-1.50)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 (1.84-4.19)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(1.44-2.14)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(1.15-1.61)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TRVmax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(1.01-1.49)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Resting LVOT gradient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(0.85-1.37)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 septal thickness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(1.11-1.65)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V̇O2 (per SD lower)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 (1.43-2.25)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V̇E/V̇CO2 slope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(1.08-1.53)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2026-09-27T16:34:46Z</dcterms:modified>
  <cp:category/>
</cp:coreProperties>
</file>