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95"/>
        <w:gridCol w:w="1939"/>
        <w:gridCol w:w="2037"/>
        <w:gridCol w:w="362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Intervention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Pre-index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Post-index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years to post event [IQR]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Septal reduction surgery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(7.0%)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(12.2%)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 [0.2, 2.6]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Ablation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 [1.7, 7.2]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Defibrillator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 (47.6%)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 [0.2, 2.9]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Pacemaker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[0.9, 7.4]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transplant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 [2.5, 11.2]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2026-09-27T16:34:45Z</dcterms:modified>
  <cp:category/>
</cp:coreProperties>
</file>