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Primary longitudinal linear mixed-effects models. The interaction estimates the annual difference in outcome trajectory per 1-SD higher baseline parameter; all models adjust for age, sex, and BMI. Q values are Benjamini-Hochberg adjusted within the prespecified family of six parameter-outcome comparisons, and inference is on the adjusted value.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Analysis sample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Random-effects structure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Interaction beta per year per 1 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 value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Primary inference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VO2 (% predicted)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Parameter available-case sample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-0.68 to 0.65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VO2 (% predicted)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Parameter available-case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-0.65 to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VO2 (% predicted)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Parameter available-case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-0.75 to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VE/VCO2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Parameter available-case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 to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  <w:tr>
        <w:trPr>
          <w:trHeight w:val="4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VE/VCO2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Parameter available-case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to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Evidence of trajectory modification</w:t>
            </w:r>
          </w:p>
        </w:tc>
      </w:tr>
      <w:tr>
        <w:trPr>
          <w:trHeight w:val="432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VE/VCO2 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Parameter available-case sample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intercept plus independent random 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 to 0.24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evidence of trajectory modification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2026-09-27T16:34:33Z</dcterms:modified>
  <cp:category/>
</cp:coreProperties>
</file>