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Baseline Characteristics by Cohort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Non-HCM reference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 = 177)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Non-obstructive HCM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 = 143)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Obstructive HCM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 = 34)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Demographics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48.0 (15.2)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47.7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53.4 (17.1)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Body mass index,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28.1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26.6 (4.8)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HCM Phenotype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Asymmetric Septal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(79%)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Comorbidities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(37%)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β-blocker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(86%)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Non-DHP CCB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Disopyramide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ACEi/ARB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(45%)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Diuretic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LV Structure &amp; 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Resting LVOT gradient, mm 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68.1 (30.2)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IVSd,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(0.3)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LVPWd,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(0.2)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LVEF,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60.4 (4.5)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64.3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67.5 (7.0)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Diastolic 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Average e′,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 (1.4)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Septal e′,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 (1.1)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Lateral e′,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 (2.0)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E/e′ (average)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 (5.1)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LAVi, mL/m²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23.2 (8.8)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34.3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41.2 (10.8)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volume, 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43.5 (18.3)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67.2 (23.5)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79.1 (19.6)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247.3 (58.2)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241.2 (45.5)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246.5 (38.4)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E/A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MV deceleration time, 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187.5 (47.4)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207.8 (67.2)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261.2 (49.4)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Cardiopulmonary Exercise 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RER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 HR, %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80.6 (18.3)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77.6 (17.5)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76.4 (17.3)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, FRIEND 2.0 %pred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77.5 (36.8)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75.7 (37.3)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79.7 (42.6)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29.9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32.4 (6.0)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33.4 (6.9)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Heart rate recovery (1 min)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32.2 (13.2)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 (13.0)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25.2 (9.3)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2026-09-14T00:05:40Z</dcterms:modified>
  <cp:category/>
</cp:coreProperties>
</file>