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Primary age-, sex-, and BMI-adjusted restricted cubic spline results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Nonlinearity q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clear association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clear association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(cm/s)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 subset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clear association</w:t>
            </w:r>
          </w:p>
        </w:tc>
      </w:tr>
      <w:tr>
        <w:trPr>
          <w:trHeight w:val="424" w:hRule="auto"/>
        </w:trPr>
        <w:tc>
          <w:tcPr>
            <w:vMerge w:val="restart"/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24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(mL/m²)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+ LAVi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(cm/s)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available-case subset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0.263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Association; no evidence of nonlinearity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2026-09-14T00:05:10Z</dcterms:modified>
  <cp:category/>
</cp:coreProperties>
</file>