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Key longitudinal GAMM terms for Figure 4 continuous parameter-specific analyses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GAMM 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Effective df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E/e'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E/e'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3.18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LAVi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LAVi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1.02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0.76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TRVmax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TRVmax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0.38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0.518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10.19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1.42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E/e'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E/e'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0.51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11.82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6.58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LAVi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8.14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LAVi interaction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2.46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5.08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2.35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TRVmax smooth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2.24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x 10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-2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baseline TRVmax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0.30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2026-09-14T00:05:19Z</dcterms:modified>
  <cp:category/>
</cp:coreProperties>
</file>