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Primary longitudinal linear mixed-effects models. The interaction estimates the annual difference in outcome trajectory per 1-SD higher baseline parameter; all models adjust for age, sex, and BMI.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Analysis sample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Random-effects structure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Interaction beta per year per 1 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Primary inference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VO2 (% predicted)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 E/e' + LAVi cohort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 to 4.08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VO2 (% predicted)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 E/e' + LAVi cohort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-2.95 to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VO2 (% predicted)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available-case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-4.78 to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VE/VCO2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 E/e' + LAVi cohort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 plus independent random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 to 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VE/VCO2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 E/e' + LAVi cohort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 plus independent random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 to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  <w:tr>
        <w:trPr>
          <w:trHeight w:val="432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VE/VCO2 slope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available-case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 plus independent random slope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-0.30 to 0.59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2026-09-14T00:05:21Z</dcterms:modified>
  <cp:category/>
</cp:coreProperties>
</file>