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Supplemental Table. Multivariable Cox statistics for parameters displayed in Figure 5D. Each parameter was entered in a separate Cox model adjusted for age, sex, and BMI. Peak V̇O₂ Z-score is sign-reversed (`scale(-V̇O₂)`) so that HR &gt; 1 indicates lower fitness.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8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Cox model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Figure 5D parameter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Contrast / scale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/ Events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value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model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 Z-score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259 / 62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(1.14-1.73)</w:t>
            </w:r>
          </w:p>
        </w:tc>
        <w:tc>
          <w:tcPr>
            <w:tcBorders>
              <w:bottom w:val="single" w:sz="3" w:space="0" w:color="8C8C8C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1.37 × 10⁻³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E/e'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vMerge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 (1.09-1.53)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2.91 × 10⁻³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 / 36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 (0.97-1.61)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8.44 × 10⁻²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LVOT gradient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Resting LVOT gradient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189 / 44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 (1.04-1.70)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2.09 × 10⁻²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 septal thickness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 septal thickness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vMerge w:val="restart"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259 / 62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(1.06-1.75)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1.44 × 10⁻²</w:t>
            </w:r>
          </w:p>
        </w:tc>
      </w:tr>
      <w:tr>
        <w:trPr>
          <w:trHeight w:val="424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V̇O2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V̇O2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lower</w:t>
            </w:r>
          </w:p>
        </w:tc>
        <w:tc>
          <w:tcPr>
            <w:vMerge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 (0.97-1.84)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7.55 × 10⁻²</w:t>
            </w:r>
          </w:p>
        </w:tc>
      </w:tr>
      <w:tr>
        <w:trPr>
          <w:trHeight w:val="432" w:hRule="auto"/>
        </w:trPr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V̇E/V̇CO2 slope model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V̇E/V̇CO2 slope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 1 SD higher</w:t>
            </w:r>
          </w:p>
        </w:tc>
        <w:tc>
          <w:tcPr>
            <w:vMerge/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(0.89-1.40)</w:t>
            </w:r>
          </w:p>
        </w:tc>
        <w:tc>
          <w:tcPr>
            <w:tcBorders>
              <w:bottom w:val="single" w:sz="3" w:space="0" w:color="8C8C8C"/>
              <w:top w:val="single" w:sz="3" w:space="0" w:color="8C8C8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3.59 × 10⁻¹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2026-09-14T00:05:35Z</dcterms:modified>
  <cp:category/>
</cp:coreProperties>
</file>