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Supplemental Table. Complete longitudinal GAMM statistics underlying the supplemental parameter-specific Figure 4 binary-status analyses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80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Baseline Parameter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Sample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Fit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Term Class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Term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Effect summary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</w:tr>
      <w:tr>
        <w:trPr>
          <w:trHeight w:val="424" w:hRule="auto"/>
        </w:trPr>
        <w:tc>
          <w:tcPr>
            <w:vMerge w:val="restart"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Peak V̇O</w:t>
            </w:r>
          </w:p>
        </w:tc>
        <w:tc>
          <w:tcPr>
            <w:vMerge w:val="restart"/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 (average)</w:t>
            </w:r>
          </w:p>
        </w:tc>
        <w:tc>
          <w:tcPr>
            <w:vMerge w:val="restart"/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294 / 105</w:t>
            </w:r>
          </w:p>
        </w:tc>
        <w:tc>
          <w:tcPr>
            <w:vMerge w:val="restart"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 GAMM</w:t>
            </w:r>
          </w:p>
        </w:tc>
        <w:tc>
          <w:tcPr>
            <w:vMerge w:val="restart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smooth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1.06; ref df = 1.06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0.55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0.493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abnormal E/e'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1.01; ref df =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0.240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Abnormal E/e'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-0.15; SE = 4.66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0.975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-0.60; SE = 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-4.95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BMI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-1.82; SE = 0.34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-5.35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 sex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2.77; SE = 4.62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0.60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0.550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156.13; SE = 10.63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14.68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LAVi (mL/m²)</w:t>
            </w: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smooth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1.18; ref df = 1.18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0.02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0.945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abnormal LAVi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1.01; ref df =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0.918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Abnormal LAVi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-2.58; SE = 4.15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0.534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-0.59; SE = 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-4.82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BMI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-1.81; SE = 0.34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-5.30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 sex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2.86; SE = 4.55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0.63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0.529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156.42; SE = 10.65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14.68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 (m/s)</w:t>
            </w:r>
          </w:p>
        </w:tc>
        <w:tc>
          <w:tcPr>
            <w:vMerge w:val="restart"/>
            <w:tcBorders>
              <w:bottom w:val="single" w:sz="6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 / 63</w:t>
            </w: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smooth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1.84; ref df = 1.84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0.63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0.532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abnormal TRVmax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1.00; ref df =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0.652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Abnormal TRVmax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-6.56; SE = 7.79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-0.51; SE = 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-3.23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BMI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-1.73; SE = 0.40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-4.31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 sex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-1.73; SE = 5.36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-0.32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0.747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150.89; SE = 13.43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11.24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424" w:hRule="auto"/>
        </w:trPr>
        <w:tc>
          <w:tcPr>
            <w:vMerge w:val="restart"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V̇E/V̇CO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slope</w:t>
            </w:r>
          </w:p>
        </w:tc>
        <w:tc>
          <w:tcPr>
            <w:vMerge w:val="restart"/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 (average)</w:t>
            </w:r>
          </w:p>
        </w:tc>
        <w:tc>
          <w:tcPr>
            <w:vMerge w:val="restart"/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293 / 105</w:t>
            </w:r>
          </w:p>
        </w:tc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smooth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1.04; ref df = 1.04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4.47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0.033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abnormal E/e'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1.03; ref df =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0.249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Abnormal E/e'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1.01; SE =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0.02; SE = 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0.199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BMI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-0.01; SE = 0.04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-0.33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0.745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 sex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1.59; SE = 1.23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1.30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0.195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31.95; SE = 1.43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22.28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LAVi (mL/m²)</w:t>
            </w: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smooth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1.04; ref df = 1.04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2.55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0.107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abnormal LAVi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1.03; ref df =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0.306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Abnormal LAVi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1.83; SE =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0.100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0.02; SE = 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0.228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BMI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-0.01; SE = 0.04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-0.35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0.726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 sex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1.65; SE = 1.20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1.37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0.173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31.43; SE = 1.47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21.34</w:t>
            </w:r>
          </w:p>
        </w:tc>
        <w:tc>
          <w:tcPr>
            <w:tcBorders>
              <w:bottom w:val="single" w:sz="3" w:space="0" w:color="8C8C8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 (m/s)</w:t>
            </w:r>
          </w:p>
        </w:tc>
        <w:tc>
          <w:tcPr>
            <w:vMerge w:val="restart"/>
            <w:tcBorders>
              <w:bottom w:val="single" w:sz="6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175 / 63</w:t>
            </w:r>
          </w:p>
        </w:tc>
        <w:tc>
          <w:tcPr>
            <w:vMerge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Smooth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smooth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1.02; ref df = 1.02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4.10</w:t>
            </w:r>
          </w:p>
        </w:tc>
        <w:tc>
          <w:tcPr>
            <w:tcBorders>
              <w:bottom w:val="none" w:sz="0" w:space="0" w:color="000000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0.043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× abnormal TRVmax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edf = 1.01; ref df =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 =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0.977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Abnormal TRVmax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2.75; SE = 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0.206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0.03; SE = 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0.133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BMI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-0.01; SE = 0.05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-0.24</w:t>
            </w:r>
          </w:p>
        </w:tc>
        <w:tc>
          <w:tcPr>
            <w:tcBorders>
              <w:bottom w:val="single" w:sz="2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0.813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 sex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1.84; SE = 1.52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1.22</w:t>
            </w:r>
          </w:p>
        </w:tc>
        <w:tc>
          <w:tcPr>
            <w:tcBorders>
              <w:bottom w:val="none" w:sz="0" w:space="0" w:color="000000"/>
              <w:top w:val="single" w:sz="2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0.226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 = 31.69; SE = 2.01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15.78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2026-09-14T00:05:20Z</dcterms:modified>
  <cp:category/>
</cp:coreProperties>
</file>