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Covariate coefficients from age-, sex-, and BMI-adjusted longitudinal GAMMs underlying the supplemental parameter-specific Figure 4 binary-status analyses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-4.95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-1.82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-5.35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-4.82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-5.30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-3.23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-4.31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-0.33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1.21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-0.35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1.51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-0.24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2026-09-14T00:05:29Z</dcterms:modified>
  <cp:category/>
</cp:coreProperties>
</file>