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Supplemental Table. Sequential-adjustment longitudinal GAMM sensitivity analyses for the supplemental parameter-specific Figure 4 binary-status models. Sample column reports observations / patients. Note: cohort size differs across adjustment levels because medication data are not uniformly available (med_data_available filter drops ~60% of observations); unadjusted-vs-medication-adjusted comparisons therefore reflect a mixture of confounding adjustment and cohort restriction. The medication-data-complete subset is biased toward patients with longer clinical follow-up.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Baseline Parameter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Relationship Term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Sample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Fit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 summary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trHeight w:val="424" w:hRule="auto"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V̇O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(average)</w:t>
            </w:r>
          </w:p>
        </w:tc>
        <w:tc>
          <w:tcPr>
            <w:vMerge w:val="restart"/>
            <w:tcBorders>
              <w:bottom w:val="single" w:sz="2" w:space="0" w:color="BFBFBF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E/e' status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 / 105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-1.81; SE = 4.94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-0.37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0.715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 / 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-0.15; SE = 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0.975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/ 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-6.29; SE = 7.71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0.416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+ diabetes adjusted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 / 66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-5.32; SE = 7.54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-0.70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E/e' status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 / 105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1.01; ref df = 1.01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0.74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0.390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 / 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1.01; ref df =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0.240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/ 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1.01; ref df =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0.950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+ diabetes adjusted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 / 66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1.07; ref df = 1.07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0.17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0.675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(mL/m²)</w:t>
            </w:r>
          </w:p>
        </w:tc>
        <w:tc>
          <w:tcPr>
            <w:vMerge w:val="restart"/>
            <w:tcBorders>
              <w:bottom w:val="single" w:sz="2" w:space="0" w:color="BFBFBF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LAVi status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 / 105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-6.38; SE = 4.43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-1.44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 / 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-2.58; SE = 4.15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0.534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/ 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3.07; SE = 7.31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0.675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+ diabetes adjusted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 / 66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2.85; SE = 7.17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0.40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LAVi status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 / 105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1.00; ref df = 1.00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0.13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0.718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 / 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1.01; ref df =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0.918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/ 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1.02; ref df =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0.905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+ diabetes adjusted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 / 66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1.77; ref df = 1.77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0.60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0.420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(m/s)</w:t>
            </w:r>
          </w:p>
        </w:tc>
        <w:tc>
          <w:tcPr>
            <w:vMerge w:val="restart"/>
            <w:tcBorders>
              <w:bottom w:val="single" w:sz="2" w:space="0" w:color="BFBFBF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TRVmax status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 / 63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-8.92; SE = 8.33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-1.07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0.286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 / 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-6.56; SE = 7.79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/ 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-4.90; SE = 14.12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0.730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+ diabetes adjusted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 / 40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-2.37; SE = 13.89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-0.17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0.865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TRVmax status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 / 63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1.02; ref df = 1.02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0.01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0.967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 / 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1.00; ref df =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/ 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1.02; ref df =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+ diabetes adjusted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 / 40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1.04; ref df = 1.04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0.61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0.452</w:t>
            </w:r>
          </w:p>
        </w:tc>
      </w:tr>
      <w:tr>
        <w:trPr>
          <w:trHeight w:val="424" w:hRule="auto"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V̇E/V̇CO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slope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(average)</w:t>
            </w:r>
          </w:p>
        </w:tc>
        <w:tc>
          <w:tcPr>
            <w:vMerge w:val="restart"/>
            <w:tcBorders>
              <w:bottom w:val="single" w:sz="2" w:space="0" w:color="BFBFBF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E/e' status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 / 105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1.36; SE = 1.28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1.06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0.288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 / 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1.01; SE =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/ 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0.17; SE =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+ diabetes adjusted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 / 66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0.20; SE = 1.57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0.13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0.899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E/e' status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 / 105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1.03; ref df = 1.03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1.50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0.218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 / 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1.03; ref df =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0.249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/ 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1.01; ref df =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+ diabetes adjusted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 / 66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1.01; ref df = 1.01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0.17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(mL/m²)</w:t>
            </w:r>
          </w:p>
        </w:tc>
        <w:tc>
          <w:tcPr>
            <w:vMerge w:val="restart"/>
            <w:tcBorders>
              <w:bottom w:val="single" w:sz="2" w:space="0" w:color="BFBFBF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LAVi status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 / 105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1.98; SE = 1.12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1.77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 / 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1.83; SE =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0.100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/ 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1.50; SE =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0.298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+ diabetes adjusted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 / 66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1.43; SE = 1.46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0.98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0.329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LAVi status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 / 105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1.03; ref df = 1.03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1.29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0.256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 / 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1.03; ref df =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0.306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/ 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1.02; ref df =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+ diabetes adjusted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 / 66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1.02; ref df = 1.02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0.21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0.657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(m/s)</w:t>
            </w:r>
          </w:p>
        </w:tc>
        <w:tc>
          <w:tcPr>
            <w:vMerge w:val="restart"/>
            <w:tcBorders>
              <w:bottom w:val="single" w:sz="2" w:space="0" w:color="BFBFBF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TRVmax status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 / 63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2.69; SE = 2.20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1.22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 / 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2.75; SE =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0.206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/ 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3.50; SE = 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0.239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+ diabetes adjusted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 / 40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3.45; SE = 3.02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1.14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0.257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TRVmax status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 / 63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1.04; ref df = 1.04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0.02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0.939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 / 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1.01; ref df =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/ 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1.02; ref df =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0.435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sex, BMI + medication + diabetes adjusted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 / 40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1.02; ref df = 1.02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0.59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2026-09-14T00:05:28Z</dcterms:modified>
  <cp:category/>
</cp:coreProperties>
</file>