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14"/>
        <w:gridCol w:w="2733"/>
        <w:gridCol w:w="334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occurrence,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First composite event, n (%)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 composite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(23.9%)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(23.9%)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Acute 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(22.0%)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transplantation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All-cause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(1.9%)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Multiple components on same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heart-failure diagnosis (not in composite)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Surgical myectomy (separate secondary outcome)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(12.7%)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2026-09-14T00:05:29Z</dcterms:modified>
  <cp:category/>
</cp:coreProperties>
</file>