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5"/>
        <w:gridCol w:w="1939"/>
        <w:gridCol w:w="2037"/>
        <w:gridCol w:w="36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Pre-index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Post-index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years to post event [IQR]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Septal reduction surgery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(7.5%)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(12.7%)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[0.1, 2.2]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Ablation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 [1.4, 7.2]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Defibrillator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[0.2, 2.9]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Pacemaker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[0.9, 6.7]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transplant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 [3.1, 11.4]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2026-09-14T00:05:37Z</dcterms:modified>
  <cp:category/>
</cp:coreProperties>
</file>