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**Table: Patient Characteristics Stratified by ASE 2025 DD Grade**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3"/>
        <w:gridCol w:w="1597"/>
        <w:gridCol w:w="1597"/>
        <w:gridCol w:w="1597"/>
        <w:gridCol w:w="1597"/>
        <w:gridCol w:w="1975"/>
        <w:gridCol w:w="1181"/>
      </w:tblGrid>
      <w:tr>
        <w:trPr>
          <w:trHeight w:val="73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 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 II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 III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Indeterminate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 (16.0)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 (15.3)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 (20.6)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 (10.5)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 (5.8)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 (5.8)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HCM Phenotype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Asymmetric Septal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Burned-out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4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(FRIEND 2.0 %pred)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 (37.1)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 (43.7)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68.9 (35.1)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76.2 (33.1)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64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(Wasserman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 (80.9)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 (51.8)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106.2 (83.8)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 (37.9)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4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 (7.1)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 Recovery (1 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 (4.7)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 (6.1)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LAVI, mL/m²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 (18.2)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 (8.6)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 (5.7)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 Vmax,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230.3 (26.2)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263.0 (45.4)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244.7 (36.3)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299.6 (20.3)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LVEF, 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 (6.3)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62.8 (8.8)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 (6.6)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 (5.0)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Fisher's exact test; NA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2026-03-25T18:22:45Z</dcterms:modified>
  <cp:category/>
</cp:coreProperties>
</file>