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2"/>
          <w:szCs w:val="32"/>
        </w:rPr>
        <w:t xml:space="preserve">Manuscript Integration Guide</w:t>
      </w:r>
    </w:p>
    <w:p>
      <w:pPr>
        <w:spacing w:after="100"/>
        <w:jc w:val="center"/>
      </w:pPr>
      <w:r>
        <w:rPr>
          <w:rFonts w:ascii="Arial" w:cs="Arial" w:eastAsia="Arial" w:hAnsi="Arial"/>
          <w:i/>
          <w:iCs/>
          <w:sz w:val="24"/>
          <w:szCs w:val="24"/>
        </w:rPr>
        <w:t xml:space="preserve">Modeling Left Ventricular Diastolic Dysfunction and Cardiopulmonary Fitness in HCM</w:t>
      </w:r>
    </w:p>
    <w:p>
      <w:pPr>
        <w:spacing w:after="100"/>
        <w:jc w:val="center"/>
      </w:pPr>
      <w:r>
        <w:rPr>
          <w:rFonts w:ascii="Arial" w:cs="Arial" w:eastAsia="Arial" w:hAnsi="Arial"/>
          <w:sz w:val="22"/>
          <w:szCs w:val="22"/>
        </w:rPr>
        <w:t xml:space="preserve">Revisions: ASE 2025 HCM-Specific Algorithm + OMAR Analysis</w:t>
      </w:r>
    </w:p>
    <w:p>
      <w:pPr>
        <w:pBdr>
          <w:bottom w:val="single" w:color="2E5FA1" w:sz="6"/>
        </w:pBdr>
        <w:spacing w:after="360"/>
        <w:jc w:val="center"/>
      </w:pPr>
      <w:r>
        <w:rPr>
          <w:rFonts w:ascii="Arial" w:cs="Arial" w:eastAsia="Arial" w:hAnsi="Arial"/>
          <w:color w:val="666666"/>
          <w:sz w:val="20"/>
          <w:szCs w:val="20"/>
        </w:rPr>
        <w:t xml:space="preserve">Each section specifies its insertion point relative to the current manuscript.</w:t>
      </w:r>
    </w:p>
    <w:p>
      <w:pPr>
        <w:pStyle w:val="Heading1"/>
        <w:spacing w:after="150" w:before="300"/>
      </w:pPr>
      <w:r>
        <w:rPr>
          <w:b/>
          <w:bCs/>
        </w:rPr>
        <w:t xml:space="preserve">PART 1: ASE 2025 HCM-SPECIFIC FILLING PRESSURE CLASSIFICATION</w:t>
      </w:r>
    </w:p>
    <w:p>
      <w:pPr>
        <w:spacing w:after="120" w:line="480"/>
      </w:pPr>
      <w:r>
        <w:rPr>
          <w:rFonts w:ascii="Arial" w:cs="Arial" w:eastAsia="Arial" w:hAnsi="Arial"/>
          <w:sz w:val="24"/>
          <w:szCs w:val="24"/>
        </w:rPr>
        <w:t xml:space="preserve">The manuscript currently uses the general-population ASE 2025 algorithm, which classifies diastolic dysfunction into Grades I–III. The HCM-specific pathway in the same guidelines </w:t>
      </w:r>
      <w:r>
        <w:rPr>
          <w:rFonts w:ascii="Arial" w:cs="Arial" w:eastAsia="Arial" w:hAnsi="Arial"/>
          <w:b/>
          <w:bCs/>
          <w:sz w:val="24"/>
          <w:szCs w:val="24"/>
        </w:rPr>
        <w:t xml:space="preserve">presumes impaired myocardial relaxation</w:t>
      </w:r>
      <w:r>
        <w:rPr>
          <w:rFonts w:ascii="Arial" w:cs="Arial" w:eastAsia="Arial" w:hAnsi="Arial"/>
          <w:sz w:val="24"/>
          <w:szCs w:val="24"/>
        </w:rPr>
        <w:t xml:space="preserve"> (bypassing Step 1) and classifies patients into only two groups: </w:t>
      </w:r>
      <w:r>
        <w:rPr>
          <w:rFonts w:ascii="Arial" w:cs="Arial" w:eastAsia="Arial" w:hAnsi="Arial"/>
          <w:b/>
          <w:bCs/>
          <w:sz w:val="24"/>
          <w:szCs w:val="24"/>
        </w:rPr>
        <w:t xml:space="preserve">Normal</w:t>
      </w:r>
      <w:r>
        <w:rPr>
          <w:rFonts w:ascii="Arial" w:cs="Arial" w:eastAsia="Arial" w:hAnsi="Arial"/>
          <w:sz w:val="24"/>
          <w:szCs w:val="24"/>
        </w:rPr>
        <w:t xml:space="preserve"> vs. </w:t>
      </w:r>
      <w:r>
        <w:rPr>
          <w:rFonts w:ascii="Arial" w:cs="Arial" w:eastAsia="Arial" w:hAnsi="Arial"/>
          <w:b/>
          <w:bCs/>
          <w:sz w:val="24"/>
          <w:szCs w:val="24"/>
        </w:rPr>
        <w:t xml:space="preserve">Elevated</w:t>
      </w:r>
      <w:r>
        <w:rPr>
          <w:rFonts w:ascii="Arial" w:cs="Arial" w:eastAsia="Arial" w:hAnsi="Arial"/>
          <w:sz w:val="24"/>
          <w:szCs w:val="24"/>
        </w:rPr>
        <w:t xml:space="preserve"> LV filling pressures. The following revisions update all relevant sections.</w:t>
      </w:r>
    </w:p>
    <w:p>
      <w:pPr>
        <w:pStyle w:val="Heading2"/>
        <w:spacing w:after="150" w:before="300"/>
      </w:pPr>
      <w:r>
        <w:rPr>
          <w:b/>
          <w:bCs/>
        </w:rPr>
        <w:t xml:space="preserve">Abstract</w:t>
      </w:r>
    </w:p>
    <w:p>
      <w:pPr>
        <w:shd w:fill="FFF3CD" w:val="clear"/>
        <w:spacing w:after="100"/>
      </w:pPr>
      <w:r>
        <w:rPr>
          <w:rFonts w:ascii="Arial" w:cs="Arial" w:eastAsia="Arial" w:hAnsi="Arial"/>
          <w:b/>
          <w:bCs/>
          <w:color w:val="CC0000"/>
          <w:sz w:val="20"/>
          <w:szCs w:val="20"/>
        </w:rPr>
        <w:t xml:space="preserve">REPLACE the current Abstract Methods/Results text</w:t>
      </w:r>
    </w:p>
    <w:p>
      <w:pPr>
        <w:spacing w:after="100" w:before="240"/>
      </w:pPr>
      <w:r>
        <w:rPr>
          <w:rFonts w:ascii="Arial" w:cs="Arial" w:eastAsia="Arial" w:hAnsi="Arial"/>
          <w:b/>
          <w:bCs/>
          <w:i/>
          <w:iCs/>
          <w:sz w:val="24"/>
          <w:szCs w:val="24"/>
        </w:rPr>
        <w:t xml:space="preserve">Methods (replace lines 54–62):</w:t>
      </w:r>
    </w:p>
    <w:p>
      <w:pPr>
        <w:spacing w:after="120" w:line="480"/>
      </w:pPr>
      <w:r>
        <w:rPr>
          <w:rFonts w:ascii="Arial" w:cs="Arial" w:eastAsia="Arial" w:hAnsi="Arial"/>
          <w:sz w:val="24"/>
          <w:szCs w:val="24"/>
        </w:rPr>
        <w:t xml:space="preserve">We evaluated patients diagnosed with HCM (LVEF ≥ 55%) who underwent comprehensive echocardiography and serial cardiopulmonary exercise testing (CPET). LV filling pressures were classified using the 2025 ASE HCM-specific algorithm, which presumes impaired myocardial relaxation and evaluates three concordance criteria: average E/e′ (&gt;14), left atrial volume index (&gt;34 mL/m</w:t>
      </w:r>
      <w:r>
        <w:rPr>
          <w:vertAlign w:val="superscript"/>
        </w:rPr>
        <w:t xml:space="preserve">2</w:t>
      </w:r>
      <w:r>
        <w:rPr>
          <w:rFonts w:ascii="Arial" w:cs="Arial" w:eastAsia="Arial" w:hAnsi="Arial"/>
          <w:sz w:val="24"/>
          <w:szCs w:val="24"/>
        </w:rPr>
        <w:t xml:space="preserve">), and peak tricuspid regurgitation velocity (&gt;2.8 m/s), yielding a binary classification of Normal vs. Elevated filling pressures. The primary endpoint was the association between filling pressure status and peak oxygen consumption (VO</w:t>
      </w:r>
      <w:r>
        <w:rPr>
          <w:vertAlign w:val="subscript"/>
        </w:rPr>
        <w:t xml:space="preserve">2</w:t>
      </w:r>
      <w:r>
        <w:rPr>
          <w:rFonts w:ascii="Arial" w:cs="Arial" w:eastAsia="Arial" w:hAnsi="Arial"/>
          <w:sz w:val="24"/>
          <w:szCs w:val="24"/>
        </w:rPr>
        <w:t xml:space="preserve">). Secondary endpoints included VE/VCO</w:t>
      </w:r>
      <w:r>
        <w:rPr>
          <w:vertAlign w:val="subscript"/>
        </w:rPr>
        <w:t xml:space="preserve">2</w:t>
      </w:r>
      <w:r>
        <w:rPr>
          <w:rFonts w:ascii="Arial" w:cs="Arial" w:eastAsia="Arial" w:hAnsi="Arial"/>
          <w:sz w:val="24"/>
          <w:szCs w:val="24"/>
        </w:rPr>
        <w:t xml:space="preserve"> slope and heart failure–related outcomes. Nonlinearity was assessed using flexible spline regression and data-driven adaptive regression (OMAR).</w:t>
      </w:r>
    </w:p>
    <w:p>
      <w:pPr>
        <w:spacing w:after="100" w:before="240"/>
      </w:pPr>
      <w:r>
        <w:rPr>
          <w:rFonts w:ascii="Arial" w:cs="Arial" w:eastAsia="Arial" w:hAnsi="Arial"/>
          <w:b/>
          <w:bCs/>
          <w:i/>
          <w:iCs/>
          <w:sz w:val="24"/>
          <w:szCs w:val="24"/>
        </w:rPr>
        <w:t xml:space="preserve">Results (replace line 62):</w:t>
      </w:r>
    </w:p>
    <w:p>
      <w:pPr>
        <w:spacing w:after="120" w:line="480"/>
      </w:pPr>
      <w:r>
        <w:rPr>
          <w:rFonts w:ascii="Arial" w:cs="Arial" w:eastAsia="Arial" w:hAnsi="Arial"/>
          <w:sz w:val="24"/>
          <w:szCs w:val="24"/>
        </w:rPr>
        <w:t xml:space="preserve">[</w:t>
      </w:r>
      <w:r>
        <w:rPr>
          <w:rFonts w:ascii="Arial" w:cs="Arial" w:eastAsia="Arial" w:hAnsi="Arial"/>
          <w:i/>
          <w:iCs/>
          <w:sz w:val="24"/>
          <w:szCs w:val="24"/>
        </w:rPr>
        <w:t xml:space="preserve">N</w:t>
      </w:r>
      <w:r>
        <w:rPr>
          <w:rFonts w:ascii="Arial" w:cs="Arial" w:eastAsia="Arial" w:hAnsi="Arial"/>
          <w:sz w:val="24"/>
          <w:szCs w:val="24"/>
        </w:rPr>
        <w:t xml:space="preserve">] patients were classified as Normal filling pressures and [</w:t>
      </w:r>
      <w:r>
        <w:rPr>
          <w:rFonts w:ascii="Arial" w:cs="Arial" w:eastAsia="Arial" w:hAnsi="Arial"/>
          <w:i/>
          <w:iCs/>
          <w:sz w:val="24"/>
          <w:szCs w:val="24"/>
        </w:rPr>
        <w:t xml:space="preserve">N</w:t>
      </w:r>
      <w:r>
        <w:rPr>
          <w:rFonts w:ascii="Arial" w:cs="Arial" w:eastAsia="Arial" w:hAnsi="Arial"/>
          <w:sz w:val="24"/>
          <w:szCs w:val="24"/>
        </w:rPr>
        <w:t xml:space="preserve">] as Elevated. Patients with elevated filling pressures exhibited [lower/similar] peak VO</w:t>
      </w:r>
      <w:r>
        <w:rPr>
          <w:vertAlign w:val="subscript"/>
        </w:rPr>
        <w:t xml:space="preserve">2</w:t>
      </w:r>
      <w:r>
        <w:rPr>
          <w:rFonts w:ascii="Arial" w:cs="Arial" w:eastAsia="Arial" w:hAnsi="Arial"/>
          <w:sz w:val="24"/>
          <w:szCs w:val="24"/>
        </w:rPr>
        <w:t xml:space="preserve"> (</w:t>
      </w:r>
      <w:r>
        <w:rPr>
          <w:rFonts w:ascii="Arial" w:cs="Arial" w:eastAsia="Arial" w:hAnsi="Arial"/>
          <w:i/>
          <w:iCs/>
          <w:sz w:val="24"/>
          <w:szCs w:val="24"/>
        </w:rPr>
        <w:t xml:space="preserve">values, p-value</w:t>
      </w:r>
      <w:r>
        <w:rPr>
          <w:rFonts w:ascii="Arial" w:cs="Arial" w:eastAsia="Arial" w:hAnsi="Arial"/>
          <w:sz w:val="24"/>
          <w:szCs w:val="24"/>
        </w:rPr>
        <w:t xml:space="preserve">) and [higher/similar] VE/VCO</w:t>
      </w:r>
      <w:r>
        <w:rPr>
          <w:vertAlign w:val="subscript"/>
        </w:rPr>
        <w:t xml:space="preserve">2</w:t>
      </w:r>
      <w:r>
        <w:rPr>
          <w:rFonts w:ascii="Arial" w:cs="Arial" w:eastAsia="Arial" w:hAnsi="Arial"/>
          <w:sz w:val="24"/>
          <w:szCs w:val="24"/>
        </w:rPr>
        <w:t xml:space="preserve"> slope (</w:t>
      </w:r>
      <w:r>
        <w:rPr>
          <w:rFonts w:ascii="Arial" w:cs="Arial" w:eastAsia="Arial" w:hAnsi="Arial"/>
          <w:i/>
          <w:iCs/>
          <w:sz w:val="24"/>
          <w:szCs w:val="24"/>
        </w:rPr>
        <w:t xml:space="preserve">values, p-value</w:t>
      </w:r>
      <w:r>
        <w:rPr>
          <w:rFonts w:ascii="Arial" w:cs="Arial" w:eastAsia="Arial" w:hAnsi="Arial"/>
          <w:sz w:val="24"/>
          <w:szCs w:val="24"/>
        </w:rPr>
        <w:t xml:space="preserve">). Data-driven threshold analysis (OMAR) identified breakpoints in [</w:t>
      </w:r>
      <w:r>
        <w:rPr>
          <w:rFonts w:ascii="Arial" w:cs="Arial" w:eastAsia="Arial" w:hAnsi="Arial"/>
          <w:i/>
          <w:iCs/>
          <w:sz w:val="24"/>
          <w:szCs w:val="24"/>
        </w:rPr>
        <w:t xml:space="preserve">N</w:t>
      </w:r>
      <w:r>
        <w:rPr>
          <w:rFonts w:ascii="Arial" w:cs="Arial" w:eastAsia="Arial" w:hAnsi="Arial"/>
          <w:sz w:val="24"/>
          <w:szCs w:val="24"/>
        </w:rPr>
        <w:t xml:space="preserve">] diastolic indices that [showed concordance with / diverged from] ASE 2025 cutoffs.</w:t>
      </w:r>
    </w:p>
    <w:p>
      <w:r>
        <w:br w:type="page"/>
      </w:r>
    </w:p>
    <w:p>
      <w:pPr>
        <w:pStyle w:val="Heading2"/>
        <w:spacing w:after="150" w:before="300"/>
      </w:pPr>
      <w:r>
        <w:rPr>
          <w:b/>
          <w:bCs/>
        </w:rPr>
        <w:t xml:space="preserve">Methods: Diastolic Assessment</w:t>
      </w:r>
    </w:p>
    <w:p>
      <w:pPr>
        <w:shd w:fill="FFF3CD" w:val="clear"/>
        <w:spacing w:after="100"/>
      </w:pPr>
      <w:r>
        <w:rPr>
          <w:rFonts w:ascii="Arial" w:cs="Arial" w:eastAsia="Arial" w:hAnsi="Arial"/>
          <w:b/>
          <w:bCs/>
          <w:color w:val="CC0000"/>
          <w:sz w:val="20"/>
          <w:szCs w:val="20"/>
        </w:rPr>
        <w:t xml:space="preserve">REPLACE “Diastolic assessment via transthoracic echocardiography” section (lines 165–176)</w:t>
      </w:r>
    </w:p>
    <w:p>
      <w:pPr>
        <w:spacing w:after="100" w:before="240"/>
      </w:pPr>
      <w:r>
        <w:rPr>
          <w:rFonts w:ascii="Arial" w:cs="Arial" w:eastAsia="Arial" w:hAnsi="Arial"/>
          <w:b/>
          <w:bCs/>
          <w:i/>
          <w:iCs/>
          <w:sz w:val="24"/>
          <w:szCs w:val="24"/>
        </w:rPr>
        <w:t xml:space="preserve">Diastolic Assessment and LV Filling Pressure Classification.</w:t>
      </w:r>
    </w:p>
    <w:p>
      <w:pPr>
        <w:spacing w:after="120" w:line="480"/>
      </w:pPr>
      <w:r>
        <w:rPr>
          <w:rFonts w:ascii="Arial" w:cs="Arial" w:eastAsia="Arial" w:hAnsi="Arial"/>
          <w:sz w:val="24"/>
          <w:szCs w:val="24"/>
        </w:rPr>
        <w:t xml:space="preserve">Comprehensive transthoracic echocardiography was performed using a standardized clinical protocol, as has been previously described.</w:t>
      </w:r>
      <w:r>
        <w:rPr>
          <w:vertAlign w:val="superscript"/>
        </w:rPr>
        <w:t xml:space="preserve">22</w:t>
      </w:r>
      <w:r>
        <w:rPr>
          <w:rFonts w:ascii="Arial" w:cs="Arial" w:eastAsia="Arial" w:hAnsi="Arial"/>
          <w:sz w:val="24"/>
          <w:szCs w:val="24"/>
        </w:rPr>
        <w:t xml:space="preserve"> LV filling pressures were classified using the 2025 ASE HCM-specific algorithm.</w:t>
      </w:r>
      <w:r>
        <w:rPr>
          <w:vertAlign w:val="superscript"/>
        </w:rPr>
        <w:t xml:space="preserve">15</w:t>
      </w:r>
      <w:r>
        <w:rPr>
          <w:rFonts w:ascii="Arial" w:cs="Arial" w:eastAsia="Arial" w:hAnsi="Arial"/>
          <w:sz w:val="24"/>
          <w:szCs w:val="24"/>
        </w:rPr>
        <w:t xml:space="preserve"> In patients with known myocardial disease, including HCM, the guidelines presume impaired myocardial relaxation given the underlying myopathy, hypertrophy, and fiber disarray, and proceed directly to filling pressure estimation. Three primary criteria are evaluated for concordance: (1) average E/e′ ratio (&gt;14), (2) left atrial volume index (&gt;34 mL/m</w:t>
      </w:r>
      <w:r>
        <w:rPr>
          <w:vertAlign w:val="superscript"/>
        </w:rPr>
        <w:t xml:space="preserve">2</w:t>
      </w:r>
      <w:r>
        <w:rPr>
          <w:rFonts w:ascii="Arial" w:cs="Arial" w:eastAsia="Arial" w:hAnsi="Arial"/>
          <w:sz w:val="24"/>
          <w:szCs w:val="24"/>
        </w:rPr>
        <w:t xml:space="preserve">), and (3) peak tricuspid regurgitation velocity (&gt;2.8 m/s). When all three criteria are concordantly normal or abnormal, classification is straightforward. When discordant, tiebreaker criteria are applied in the following hierarchy: left atrial reservoir strain (LARS ≤18%), pulmonary venous Ar–A duration difference (≥30 ms), and E/A ratio (≤0.8 with E velocity ≤50 cm/s [normal filling pressures] or ≥2 [elevated filling pressures]). LARS and Ar–A duration were not available in this dataset; the E/A ratio served as the primary tiebreaker. The resulting classification is binary: Normal vs. Elevated LV filling pressures.</w:t>
      </w:r>
    </w:p>
    <w:p>
      <w:pPr>
        <w:spacing w:after="120" w:line="480"/>
      </w:pPr>
      <w:r>
        <w:rPr>
          <w:rFonts w:ascii="Arial" w:cs="Arial" w:eastAsia="Arial" w:hAnsi="Arial"/>
          <w:sz w:val="24"/>
          <w:szCs w:val="24"/>
        </w:rPr>
        <w:t xml:space="preserve">Additional echocardiographic variables included mitral inflow velocities (E and A), average e′ velocity (calculated as the mean of septal and lateral e′), septal and lateral e′ velocities, mitral deceleration time, isovolumic relaxation time (IVRT), posterior wall thickness, septal wall thickness, LVOT gradient, and left ventricular ejection fraction (LVEF).</w:t>
      </w:r>
    </w:p>
    <w:p>
      <w:pPr>
        <w:pStyle w:val="Heading2"/>
        <w:spacing w:after="150" w:before="300"/>
      </w:pPr>
      <w:r>
        <w:rPr>
          <w:b/>
          <w:bCs/>
        </w:rPr>
        <w:t xml:space="preserve">Methods: Heart Failure Outcomes</w:t>
      </w:r>
    </w:p>
    <w:p>
      <w:pPr>
        <w:shd w:fill="FFF3CD" w:val="clear"/>
        <w:spacing w:after="100"/>
      </w:pPr>
      <w:r>
        <w:rPr>
          <w:rFonts w:ascii="Arial" w:cs="Arial" w:eastAsia="Arial" w:hAnsi="Arial"/>
          <w:b/>
          <w:bCs/>
          <w:color w:val="CC0000"/>
          <w:sz w:val="20"/>
          <w:szCs w:val="20"/>
        </w:rPr>
        <w:t xml:space="preserve">REPLACE “Heart Failure Outcomes” Methods paragraph (lines 245–257)</w:t>
      </w:r>
    </w:p>
    <w:p>
      <w:pPr>
        <w:spacing w:after="120" w:line="480"/>
      </w:pPr>
      <w:r>
        <w:rPr>
          <w:rFonts w:ascii="Arial" w:cs="Arial" w:eastAsia="Arial" w:hAnsi="Arial"/>
          <w:sz w:val="24"/>
          <w:szCs w:val="24"/>
        </w:rPr>
        <w:t xml:space="preserve">The composite primary endpoint was defined as the first occurrence of any of the following: acute heart failure hospitalization, chronic heart failure diagnosis, heart transplantation, or all-cause death. Event adjudication was performed by chart review. Time-to-event analysis was performed using multivariable Cox proportional hazards regression. The primary exposure was ASE 2025 filling pressure classification (Normal [reference] vs. Elevated), with adjustment for age, sex, and LBMI. Hazard ratios (HR) are reported with 95% confidence intervals. Proportional hazards assumptions were assessed by inspection of scaled Schoenfeld residuals. A two-sided </w:t>
      </w:r>
      <w:r>
        <w:rPr>
          <w:rFonts w:ascii="Arial" w:cs="Arial" w:eastAsia="Arial" w:hAnsi="Arial"/>
          <w:i/>
          <w:iCs/>
          <w:sz w:val="24"/>
          <w:szCs w:val="24"/>
        </w:rPr>
        <w:t xml:space="preserve">p</w:t>
      </w:r>
      <w:r>
        <w:rPr>
          <w:rFonts w:ascii="Arial" w:cs="Arial" w:eastAsia="Arial" w:hAnsi="Arial"/>
          <w:sz w:val="24"/>
          <w:szCs w:val="24"/>
        </w:rPr>
        <w:t xml:space="preserve"> &lt; 0.05 was considered statistically significant.</w:t>
      </w:r>
    </w:p>
    <w:p>
      <w:pPr>
        <w:pStyle w:val="Heading2"/>
        <w:spacing w:after="150" w:before="300"/>
      </w:pPr>
      <w:r>
        <w:rPr>
          <w:b/>
          <w:bCs/>
        </w:rPr>
        <w:t xml:space="preserve">Methods: Data-Driven Threshold Discovery (OMAR)</w:t>
      </w:r>
    </w:p>
    <w:p>
      <w:pPr>
        <w:shd w:fill="FFF3CD" w:val="clear"/>
        <w:spacing w:after="100"/>
      </w:pPr>
      <w:r>
        <w:rPr>
          <w:rFonts w:ascii="Arial" w:cs="Arial" w:eastAsia="Arial" w:hAnsi="Arial"/>
          <w:b/>
          <w:bCs/>
          <w:color w:val="CC0000"/>
          <w:sz w:val="20"/>
          <w:szCs w:val="20"/>
        </w:rPr>
        <w:t xml:space="preserve">INSERT after “Statistical Software” paragraph (line 269) and before RESULTS</w:t>
      </w:r>
    </w:p>
    <w:p>
      <w:pPr>
        <w:spacing w:after="100" w:before="240"/>
      </w:pPr>
      <w:r>
        <w:rPr>
          <w:rFonts w:ascii="Arial" w:cs="Arial" w:eastAsia="Arial" w:hAnsi="Arial"/>
          <w:b/>
          <w:bCs/>
          <w:i/>
          <w:iCs/>
          <w:sz w:val="24"/>
          <w:szCs w:val="24"/>
        </w:rPr>
        <w:t xml:space="preserve">Data-Driven Threshold Discovery (OMAR).</w:t>
      </w:r>
    </w:p>
    <w:p>
      <w:pPr>
        <w:spacing w:after="120" w:line="480"/>
      </w:pPr>
      <w:r>
        <w:rPr>
          <w:rFonts w:ascii="Arial" w:cs="Arial" w:eastAsia="Arial" w:hAnsi="Arial"/>
          <w:sz w:val="24"/>
          <w:szCs w:val="24"/>
        </w:rPr>
        <w:t xml:space="preserve">To complement the guideline-based binary classification with data-driven threshold discovery, we employed Open Multivariate Adaptive Regression (OMAR), a modern open-source implementation of the multivariate adaptive regression splines (MARS) algorithm.</w:t>
      </w:r>
      <w:r>
        <w:rPr>
          <w:vertAlign w:val="superscript"/>
        </w:rPr>
        <w:t xml:space="preserve">31</w:t>
      </w:r>
      <w:r>
        <w:rPr>
          <w:rFonts w:ascii="Arial" w:cs="Arial" w:eastAsia="Arial" w:hAnsi="Arial"/>
          <w:sz w:val="24"/>
          <w:szCs w:val="24"/>
        </w:rPr>
        <w:t xml:space="preserve"> OMAR uses a forward/backward stepwise procedure to automatically identify piecewise-linear breakpoints (“hinge functions”) in the relationship between predictor variables and outcomes, without requiring pre-specified knot locations or assumptions of linearity. In the forward pass, candidate basis functions are added at data-driven breakpoints where the slope of the predictor–outcome relationship changes; in the backward pass, basis functions that do not improve the generalized cross-validation (GCV) criterion are pruned, retaining only structurally important thresholds. This approach provides an unbiased, data-driven comparison to the expert-derived ASE 2025 cutoffs.</w:t>
      </w:r>
    </w:p>
    <w:p>
      <w:pPr>
        <w:spacing w:after="120" w:line="480"/>
      </w:pPr>
      <w:r>
        <w:rPr>
          <w:rFonts w:ascii="Arial" w:cs="Arial" w:eastAsia="Arial" w:hAnsi="Arial"/>
          <w:sz w:val="24"/>
          <w:szCs w:val="24"/>
        </w:rPr>
        <w:t xml:space="preserve">Separate OMAR models were fit for each primary CPET outcome: peak VO</w:t>
      </w:r>
      <w:r>
        <w:rPr>
          <w:vertAlign w:val="subscript"/>
        </w:rPr>
        <w:t xml:space="preserve">2</w:t>
      </w:r>
      <w:r>
        <w:rPr>
          <w:rFonts w:ascii="Arial" w:cs="Arial" w:eastAsia="Arial" w:hAnsi="Arial"/>
          <w:sz w:val="24"/>
          <w:szCs w:val="24"/>
        </w:rPr>
        <w:t xml:space="preserve"> (FRIEND 2.0 % predicted) and VE/VCO</w:t>
      </w:r>
      <w:r>
        <w:rPr>
          <w:vertAlign w:val="subscript"/>
        </w:rPr>
        <w:t xml:space="preserve">2</w:t>
      </w:r>
      <w:r>
        <w:rPr>
          <w:rFonts w:ascii="Arial" w:cs="Arial" w:eastAsia="Arial" w:hAnsi="Arial"/>
          <w:sz w:val="24"/>
          <w:szCs w:val="24"/>
        </w:rPr>
        <w:t xml:space="preserve"> slope. In each model, six diastolic indices (average E/e′, left atrial volume index, peak tricuspid regurgitation velocity, average e′, E/A ratio, and mitral deceleration time) were entered as candidate predictors alongside age, lean body mass index, and sex as adjustment covariates. Models were fit with a maximum of 10 basis functions and a GCV penalty of 3.0 to guard against overfitting. Partial dependence curves were computed for each selected diastolic variable by varying it across its observed range (2nd–98th percentile) while holding all other predictors at their median values. OMAR-discovered knots were compared against ASE 2025 guideline cutoffs to assess concordance between data-driven and expert-derived thresholds.</w:t>
      </w:r>
    </w:p>
    <w:p>
      <w:pPr>
        <w:pStyle w:val="Heading2"/>
        <w:spacing w:after="150" w:before="300"/>
      </w:pPr>
      <w:r>
        <w:rPr>
          <w:b/>
          <w:bCs/>
        </w:rPr>
        <w:t xml:space="preserve">Methods: Statistical Software (addendum)</w:t>
      </w:r>
    </w:p>
    <w:p>
      <w:pPr>
        <w:shd w:fill="FFF3CD" w:val="clear"/>
        <w:spacing w:after="100"/>
      </w:pPr>
      <w:r>
        <w:rPr>
          <w:rFonts w:ascii="Arial" w:cs="Arial" w:eastAsia="Arial" w:hAnsi="Arial"/>
          <w:b/>
          <w:bCs/>
          <w:color w:val="CC0000"/>
          <w:sz w:val="20"/>
          <w:szCs w:val="20"/>
        </w:rPr>
        <w:t xml:space="preserve">APPEND to the end of the existing “Statistical Software” paragraph (line 269)</w:t>
      </w:r>
    </w:p>
    <w:p>
      <w:pPr>
        <w:spacing w:after="120" w:line="480"/>
      </w:pPr>
      <w:r>
        <w:rPr>
          <w:rFonts w:ascii="Arial" w:cs="Arial" w:eastAsia="Arial" w:hAnsi="Arial"/>
          <w:sz w:val="24"/>
          <w:szCs w:val="24"/>
        </w:rPr>
        <w:t xml:space="preserve">Data-driven threshold discovery was performed using OMAR (Open Multivariate Adaptive Regression, v0.1; Walter et al., Technical University of Munich) via reticulate (version 1.40) for R–Python interoperability.</w:t>
      </w:r>
    </w:p>
    <w:p>
      <w:r>
        <w:br w:type="page"/>
      </w:r>
    </w:p>
    <w:p>
      <w:pPr>
        <w:pStyle w:val="Heading1"/>
        <w:spacing w:after="150" w:before="300"/>
      </w:pPr>
      <w:r>
        <w:rPr>
          <w:b/>
          <w:bCs/>
        </w:rPr>
        <w:t xml:space="preserve">PART 2: RESULTS REVISIONS</w:t>
      </w:r>
    </w:p>
    <w:p>
      <w:pPr>
        <w:pStyle w:val="Heading2"/>
        <w:spacing w:after="150" w:before="300"/>
      </w:pPr>
      <w:r>
        <w:rPr>
          <w:b/>
          <w:bCs/>
        </w:rPr>
        <w:t xml:space="preserve">Results: Filling Pressure Classification</w:t>
      </w:r>
    </w:p>
    <w:p>
      <w:pPr>
        <w:shd w:fill="FFF3CD" w:val="clear"/>
        <w:spacing w:after="100"/>
      </w:pPr>
      <w:r>
        <w:rPr>
          <w:rFonts w:ascii="Arial" w:cs="Arial" w:eastAsia="Arial" w:hAnsi="Arial"/>
          <w:b/>
          <w:bCs/>
          <w:color w:val="CC0000"/>
          <w:sz w:val="20"/>
          <w:szCs w:val="20"/>
        </w:rPr>
        <w:t xml:space="preserve">REPLACE “Diastolic Dysfunction Grading by the ASE 2025 Framework” Results section (lines 349–365)</w:t>
      </w:r>
    </w:p>
    <w:p>
      <w:pPr>
        <w:spacing w:after="100" w:before="240"/>
      </w:pPr>
      <w:r>
        <w:rPr>
          <w:rFonts w:ascii="Arial" w:cs="Arial" w:eastAsia="Arial" w:hAnsi="Arial"/>
          <w:b/>
          <w:bCs/>
          <w:i/>
          <w:iCs/>
          <w:sz w:val="24"/>
          <w:szCs w:val="24"/>
        </w:rPr>
        <w:t xml:space="preserve">LV Filling Pressure Classification by the ASE 2025 HCM-Specific Algorithm.</w:t>
      </w:r>
    </w:p>
    <w:p>
      <w:pPr>
        <w:spacing w:after="120" w:line="480"/>
      </w:pPr>
      <w:r>
        <w:rPr>
          <w:rFonts w:ascii="Arial" w:cs="Arial" w:eastAsia="Arial" w:hAnsi="Arial"/>
          <w:sz w:val="24"/>
          <w:szCs w:val="24"/>
        </w:rPr>
        <w:t xml:space="preserve">LV filling pressures were classified according to the 2025 ASE HCM-specific algorithm, which presumes impaired myocardial relaxation in patients with HCM and evaluates three concordance criteria: average E/e′ ratio (&gt;14), left atrial volume index (&gt;34 mL/m</w:t>
      </w:r>
      <w:r>
        <w:rPr>
          <w:vertAlign w:val="superscript"/>
        </w:rPr>
        <w:t xml:space="preserve">2</w:t>
      </w:r>
      <w:r>
        <w:rPr>
          <w:rFonts w:ascii="Arial" w:cs="Arial" w:eastAsia="Arial" w:hAnsi="Arial"/>
          <w:sz w:val="24"/>
          <w:szCs w:val="24"/>
        </w:rPr>
        <w:t xml:space="preserve">), and peak tricuspid regurgitation velocity (&gt;2.8 m/s). Among [</w:t>
      </w:r>
      <w:r>
        <w:rPr>
          <w:rFonts w:ascii="Arial" w:cs="Arial" w:eastAsia="Arial" w:hAnsi="Arial"/>
          <w:i/>
          <w:iCs/>
          <w:sz w:val="24"/>
          <w:szCs w:val="24"/>
        </w:rPr>
        <w:t xml:space="preserve">N</w:t>
      </w:r>
      <w:r>
        <w:rPr>
          <w:rFonts w:ascii="Arial" w:cs="Arial" w:eastAsia="Arial" w:hAnsi="Arial"/>
          <w:sz w:val="24"/>
          <w:szCs w:val="24"/>
        </w:rPr>
        <w:t xml:space="preserve">] patients, [</w:t>
      </w:r>
      <w:r>
        <w:rPr>
          <w:rFonts w:ascii="Arial" w:cs="Arial" w:eastAsia="Arial" w:hAnsi="Arial"/>
          <w:i/>
          <w:iCs/>
          <w:sz w:val="24"/>
          <w:szCs w:val="24"/>
        </w:rPr>
        <w:t xml:space="preserve">N</w:t>
      </w:r>
      <w:r>
        <w:rPr>
          <w:rFonts w:ascii="Arial" w:cs="Arial" w:eastAsia="Arial" w:hAnsi="Arial"/>
          <w:sz w:val="24"/>
          <w:szCs w:val="24"/>
        </w:rPr>
        <w:t xml:space="preserve">] ([</w:t>
      </w:r>
      <w:r>
        <w:rPr>
          <w:rFonts w:ascii="Arial" w:cs="Arial" w:eastAsia="Arial" w:hAnsi="Arial"/>
          <w:i/>
          <w:iCs/>
          <w:sz w:val="24"/>
          <w:szCs w:val="24"/>
        </w:rPr>
        <w:t xml:space="preserve">%</w:t>
      </w:r>
      <w:r>
        <w:rPr>
          <w:rFonts w:ascii="Arial" w:cs="Arial" w:eastAsia="Arial" w:hAnsi="Arial"/>
          <w:sz w:val="24"/>
          <w:szCs w:val="24"/>
        </w:rPr>
        <w:t xml:space="preserve">]) were classified as Normal filling pressures and [</w:t>
      </w:r>
      <w:r>
        <w:rPr>
          <w:rFonts w:ascii="Arial" w:cs="Arial" w:eastAsia="Arial" w:hAnsi="Arial"/>
          <w:i/>
          <w:iCs/>
          <w:sz w:val="24"/>
          <w:szCs w:val="24"/>
        </w:rPr>
        <w:t xml:space="preserve">N</w:t>
      </w:r>
      <w:r>
        <w:rPr>
          <w:rFonts w:ascii="Arial" w:cs="Arial" w:eastAsia="Arial" w:hAnsi="Arial"/>
          <w:sz w:val="24"/>
          <w:szCs w:val="24"/>
        </w:rPr>
        <w:t xml:space="preserve">] ([</w:t>
      </w:r>
      <w:r>
        <w:rPr>
          <w:rFonts w:ascii="Arial" w:cs="Arial" w:eastAsia="Arial" w:hAnsi="Arial"/>
          <w:i/>
          <w:iCs/>
          <w:sz w:val="24"/>
          <w:szCs w:val="24"/>
        </w:rPr>
        <w:t xml:space="preserve">%</w:t>
      </w:r>
      <w:r>
        <w:rPr>
          <w:rFonts w:ascii="Arial" w:cs="Arial" w:eastAsia="Arial" w:hAnsi="Arial"/>
          <w:sz w:val="24"/>
          <w:szCs w:val="24"/>
        </w:rPr>
        <w:t xml:space="preserve">]) as Elevated (</w:t>
      </w:r>
      <w:r>
        <w:rPr>
          <w:rFonts w:ascii="Arial" w:cs="Arial" w:eastAsia="Arial" w:hAnsi="Arial"/>
          <w:b/>
          <w:bCs/>
          <w:sz w:val="24"/>
          <w:szCs w:val="24"/>
        </w:rPr>
        <w:t xml:space="preserve">Fig. XA</w:t>
      </w:r>
      <w:r>
        <w:rPr>
          <w:rFonts w:ascii="Arial" w:cs="Arial" w:eastAsia="Arial" w:hAnsi="Arial"/>
          <w:sz w:val="24"/>
          <w:szCs w:val="24"/>
        </w:rPr>
        <w:t xml:space="preserve">). [</w:t>
      </w:r>
      <w:r>
        <w:rPr>
          <w:rFonts w:ascii="Arial" w:cs="Arial" w:eastAsia="Arial" w:hAnsi="Arial"/>
          <w:i/>
          <w:iCs/>
          <w:sz w:val="24"/>
          <w:szCs w:val="24"/>
        </w:rPr>
        <w:t xml:space="preserve">N</w:t>
      </w:r>
      <w:r>
        <w:rPr>
          <w:rFonts w:ascii="Arial" w:cs="Arial" w:eastAsia="Arial" w:hAnsi="Arial"/>
          <w:sz w:val="24"/>
          <w:szCs w:val="24"/>
        </w:rPr>
        <w:t xml:space="preserve">] patients ([</w:t>
      </w:r>
      <w:r>
        <w:rPr>
          <w:rFonts w:ascii="Arial" w:cs="Arial" w:eastAsia="Arial" w:hAnsi="Arial"/>
          <w:i/>
          <w:iCs/>
          <w:sz w:val="24"/>
          <w:szCs w:val="24"/>
        </w:rPr>
        <w:t xml:space="preserve">%</w:t>
      </w:r>
      <w:r>
        <w:rPr>
          <w:rFonts w:ascii="Arial" w:cs="Arial" w:eastAsia="Arial" w:hAnsi="Arial"/>
          <w:sz w:val="24"/>
          <w:szCs w:val="24"/>
        </w:rPr>
        <w:t xml:space="preserve">]) were classified as Indeterminate due to insufficient echocardiographic data. The three primary criteria were concordant in [</w:t>
      </w:r>
      <w:r>
        <w:rPr>
          <w:rFonts w:ascii="Arial" w:cs="Arial" w:eastAsia="Arial" w:hAnsi="Arial"/>
          <w:i/>
          <w:iCs/>
          <w:sz w:val="24"/>
          <w:szCs w:val="24"/>
        </w:rPr>
        <w:t xml:space="preserve">N</w:t>
      </w:r>
      <w:r>
        <w:rPr>
          <w:rFonts w:ascii="Arial" w:cs="Arial" w:eastAsia="Arial" w:hAnsi="Arial"/>
          <w:sz w:val="24"/>
          <w:szCs w:val="24"/>
        </w:rPr>
        <w:t xml:space="preserve">] ([</w:t>
      </w:r>
      <w:r>
        <w:rPr>
          <w:rFonts w:ascii="Arial" w:cs="Arial" w:eastAsia="Arial" w:hAnsi="Arial"/>
          <w:i/>
          <w:iCs/>
          <w:sz w:val="24"/>
          <w:szCs w:val="24"/>
        </w:rPr>
        <w:t xml:space="preserve">%</w:t>
      </w:r>
      <w:r>
        <w:rPr>
          <w:rFonts w:ascii="Arial" w:cs="Arial" w:eastAsia="Arial" w:hAnsi="Arial"/>
          <w:sz w:val="24"/>
          <w:szCs w:val="24"/>
        </w:rPr>
        <w:t xml:space="preserve">]) and discordant in [</w:t>
      </w:r>
      <w:r>
        <w:rPr>
          <w:rFonts w:ascii="Arial" w:cs="Arial" w:eastAsia="Arial" w:hAnsi="Arial"/>
          <w:i/>
          <w:iCs/>
          <w:sz w:val="24"/>
          <w:szCs w:val="24"/>
        </w:rPr>
        <w:t xml:space="preserve">N</w:t>
      </w:r>
      <w:r>
        <w:rPr>
          <w:rFonts w:ascii="Arial" w:cs="Arial" w:eastAsia="Arial" w:hAnsi="Arial"/>
          <w:sz w:val="24"/>
          <w:szCs w:val="24"/>
        </w:rPr>
        <w:t xml:space="preserve">] ([</w:t>
      </w:r>
      <w:r>
        <w:rPr>
          <w:rFonts w:ascii="Arial" w:cs="Arial" w:eastAsia="Arial" w:hAnsi="Arial"/>
          <w:i/>
          <w:iCs/>
          <w:sz w:val="24"/>
          <w:szCs w:val="24"/>
        </w:rPr>
        <w:t xml:space="preserve">%</w:t>
      </w:r>
      <w:r>
        <w:rPr>
          <w:rFonts w:ascii="Arial" w:cs="Arial" w:eastAsia="Arial" w:hAnsi="Arial"/>
          <w:sz w:val="24"/>
          <w:szCs w:val="24"/>
        </w:rPr>
        <w:t xml:space="preserve">]) of evaluable patients; the E/A ratio tiebreaker resolved [</w:t>
      </w:r>
      <w:r>
        <w:rPr>
          <w:rFonts w:ascii="Arial" w:cs="Arial" w:eastAsia="Arial" w:hAnsi="Arial"/>
          <w:i/>
          <w:iCs/>
          <w:sz w:val="24"/>
          <w:szCs w:val="24"/>
        </w:rPr>
        <w:t xml:space="preserve">N</w:t>
      </w:r>
      <w:r>
        <w:rPr>
          <w:rFonts w:ascii="Arial" w:cs="Arial" w:eastAsia="Arial" w:hAnsi="Arial"/>
          <w:sz w:val="24"/>
          <w:szCs w:val="24"/>
        </w:rPr>
        <w:t xml:space="preserve">] of [</w:t>
      </w:r>
      <w:r>
        <w:rPr>
          <w:rFonts w:ascii="Arial" w:cs="Arial" w:eastAsia="Arial" w:hAnsi="Arial"/>
          <w:i/>
          <w:iCs/>
          <w:sz w:val="24"/>
          <w:szCs w:val="24"/>
        </w:rPr>
        <w:t xml:space="preserve">N</w:t>
      </w:r>
      <w:r>
        <w:rPr>
          <w:rFonts w:ascii="Arial" w:cs="Arial" w:eastAsia="Arial" w:hAnsi="Arial"/>
          <w:sz w:val="24"/>
          <w:szCs w:val="24"/>
        </w:rPr>
        <w:t xml:space="preserve">] discordant cases (</w:t>
      </w:r>
      <w:r>
        <w:rPr>
          <w:rFonts w:ascii="Arial" w:cs="Arial" w:eastAsia="Arial" w:hAnsi="Arial"/>
          <w:b/>
          <w:bCs/>
          <w:sz w:val="24"/>
          <w:szCs w:val="24"/>
        </w:rPr>
        <w:t xml:space="preserve">Fig. XB</w:t>
      </w:r>
      <w:r>
        <w:rPr>
          <w:rFonts w:ascii="Arial" w:cs="Arial" w:eastAsia="Arial" w:hAnsi="Arial"/>
          <w:sz w:val="24"/>
          <w:szCs w:val="24"/>
        </w:rPr>
        <w:t xml:space="preserve">).</w:t>
      </w:r>
    </w:p>
    <w:p>
      <w:pPr>
        <w:spacing w:after="120" w:line="480"/>
      </w:pPr>
      <w:r>
        <w:rPr>
          <w:rFonts w:ascii="Arial" w:cs="Arial" w:eastAsia="Arial" w:hAnsi="Arial"/>
          <w:sz w:val="24"/>
          <w:szCs w:val="24"/>
        </w:rPr>
        <w:t xml:space="preserve">Mean peak VO</w:t>
      </w:r>
      <w:r>
        <w:rPr>
          <w:vertAlign w:val="subscript"/>
        </w:rPr>
        <w:t xml:space="preserve">2</w:t>
      </w:r>
      <w:r>
        <w:rPr>
          <w:rFonts w:ascii="Arial" w:cs="Arial" w:eastAsia="Arial" w:hAnsi="Arial"/>
          <w:sz w:val="24"/>
          <w:szCs w:val="24"/>
        </w:rPr>
        <w:t xml:space="preserve"> (FRIEND 2.0 % predicted) [was / was not] significantly different between groups (Normal: [</w:t>
      </w:r>
      <w:r>
        <w:rPr>
          <w:rFonts w:ascii="Arial" w:cs="Arial" w:eastAsia="Arial" w:hAnsi="Arial"/>
          <w:i/>
          <w:iCs/>
          <w:sz w:val="24"/>
          <w:szCs w:val="24"/>
        </w:rPr>
        <w:t xml:space="preserve">mean ± SD</w:t>
      </w:r>
      <w:r>
        <w:rPr>
          <w:rFonts w:ascii="Arial" w:cs="Arial" w:eastAsia="Arial" w:hAnsi="Arial"/>
          <w:sz w:val="24"/>
          <w:szCs w:val="24"/>
        </w:rPr>
        <w:t xml:space="preserve">]; Elevated: [</w:t>
      </w:r>
      <w:r>
        <w:rPr>
          <w:rFonts w:ascii="Arial" w:cs="Arial" w:eastAsia="Arial" w:hAnsi="Arial"/>
          <w:i/>
          <w:iCs/>
          <w:sz w:val="24"/>
          <w:szCs w:val="24"/>
        </w:rPr>
        <w:t xml:space="preserve">mean ± SD</w:t>
      </w:r>
      <w:r>
        <w:rPr>
          <w:rFonts w:ascii="Arial" w:cs="Arial" w:eastAsia="Arial" w:hAnsi="Arial"/>
          <w:sz w:val="24"/>
          <w:szCs w:val="24"/>
        </w:rPr>
        <w:t xml:space="preserve">]; Wilcoxon </w:t>
      </w:r>
      <w:r>
        <w:rPr>
          <w:rFonts w:ascii="Arial" w:cs="Arial" w:eastAsia="Arial" w:hAnsi="Arial"/>
          <w:i/>
          <w:iCs/>
          <w:sz w:val="24"/>
          <w:szCs w:val="24"/>
        </w:rPr>
        <w:t xml:space="preserve">p</w:t>
      </w:r>
      <w:r>
        <w:rPr>
          <w:rFonts w:ascii="Arial" w:cs="Arial" w:eastAsia="Arial" w:hAnsi="Arial"/>
          <w:sz w:val="24"/>
          <w:szCs w:val="24"/>
        </w:rPr>
        <w:t xml:space="preserve"> = [</w:t>
      </w:r>
      <w:r>
        <w:rPr>
          <w:rFonts w:ascii="Arial" w:cs="Arial" w:eastAsia="Arial" w:hAnsi="Arial"/>
          <w:i/>
          <w:iCs/>
          <w:sz w:val="24"/>
          <w:szCs w:val="24"/>
        </w:rPr>
        <w:t xml:space="preserve">value</w:t>
      </w:r>
      <w:r>
        <w:rPr>
          <w:rFonts w:ascii="Arial" w:cs="Arial" w:eastAsia="Arial" w:hAnsi="Arial"/>
          <w:sz w:val="24"/>
          <w:szCs w:val="24"/>
        </w:rPr>
        <w:t xml:space="preserve">]; </w:t>
      </w:r>
      <w:r>
        <w:rPr>
          <w:rFonts w:ascii="Arial" w:cs="Arial" w:eastAsia="Arial" w:hAnsi="Arial"/>
          <w:b/>
          <w:bCs/>
          <w:sz w:val="24"/>
          <w:szCs w:val="24"/>
        </w:rPr>
        <w:t xml:space="preserve">Fig. XC</w:t>
      </w:r>
      <w:r>
        <w:rPr>
          <w:rFonts w:ascii="Arial" w:cs="Arial" w:eastAsia="Arial" w:hAnsi="Arial"/>
          <w:sz w:val="24"/>
          <w:szCs w:val="24"/>
        </w:rPr>
        <w:t xml:space="preserve">). VE/VCO</w:t>
      </w:r>
      <w:r>
        <w:rPr>
          <w:vertAlign w:val="subscript"/>
        </w:rPr>
        <w:t xml:space="preserve">2</w:t>
      </w:r>
      <w:r>
        <w:rPr>
          <w:rFonts w:ascii="Arial" w:cs="Arial" w:eastAsia="Arial" w:hAnsi="Arial"/>
          <w:sz w:val="24"/>
          <w:szCs w:val="24"/>
        </w:rPr>
        <w:t xml:space="preserve"> slope [demonstrated / did not demonstrate] a significant association with filling pressure status (Normal: [</w:t>
      </w:r>
      <w:r>
        <w:rPr>
          <w:rFonts w:ascii="Arial" w:cs="Arial" w:eastAsia="Arial" w:hAnsi="Arial"/>
          <w:i/>
          <w:iCs/>
          <w:sz w:val="24"/>
          <w:szCs w:val="24"/>
        </w:rPr>
        <w:t xml:space="preserve">mean ± SD</w:t>
      </w:r>
      <w:r>
        <w:rPr>
          <w:rFonts w:ascii="Arial" w:cs="Arial" w:eastAsia="Arial" w:hAnsi="Arial"/>
          <w:sz w:val="24"/>
          <w:szCs w:val="24"/>
        </w:rPr>
        <w:t xml:space="preserve">]; Elevated: [</w:t>
      </w:r>
      <w:r>
        <w:rPr>
          <w:rFonts w:ascii="Arial" w:cs="Arial" w:eastAsia="Arial" w:hAnsi="Arial"/>
          <w:i/>
          <w:iCs/>
          <w:sz w:val="24"/>
          <w:szCs w:val="24"/>
        </w:rPr>
        <w:t xml:space="preserve">mean ± SD</w:t>
      </w:r>
      <w:r>
        <w:rPr>
          <w:rFonts w:ascii="Arial" w:cs="Arial" w:eastAsia="Arial" w:hAnsi="Arial"/>
          <w:sz w:val="24"/>
          <w:szCs w:val="24"/>
        </w:rPr>
        <w:t xml:space="preserve">]; </w:t>
      </w:r>
      <w:r>
        <w:rPr>
          <w:rFonts w:ascii="Arial" w:cs="Arial" w:eastAsia="Arial" w:hAnsi="Arial"/>
          <w:i/>
          <w:iCs/>
          <w:sz w:val="24"/>
          <w:szCs w:val="24"/>
        </w:rPr>
        <w:t xml:space="preserve">p</w:t>
      </w:r>
      <w:r>
        <w:rPr>
          <w:rFonts w:ascii="Arial" w:cs="Arial" w:eastAsia="Arial" w:hAnsi="Arial"/>
          <w:sz w:val="24"/>
          <w:szCs w:val="24"/>
        </w:rPr>
        <w:t xml:space="preserve"> = [</w:t>
      </w:r>
      <w:r>
        <w:rPr>
          <w:rFonts w:ascii="Arial" w:cs="Arial" w:eastAsia="Arial" w:hAnsi="Arial"/>
          <w:i/>
          <w:iCs/>
          <w:sz w:val="24"/>
          <w:szCs w:val="24"/>
        </w:rPr>
        <w:t xml:space="preserve">value</w:t>
      </w:r>
      <w:r>
        <w:rPr>
          <w:rFonts w:ascii="Arial" w:cs="Arial" w:eastAsia="Arial" w:hAnsi="Arial"/>
          <w:sz w:val="24"/>
          <w:szCs w:val="24"/>
        </w:rPr>
        <w:t xml:space="preserve">]; </w:t>
      </w:r>
      <w:r>
        <w:rPr>
          <w:rFonts w:ascii="Arial" w:cs="Arial" w:eastAsia="Arial" w:hAnsi="Arial"/>
          <w:b/>
          <w:bCs/>
          <w:sz w:val="24"/>
          <w:szCs w:val="24"/>
        </w:rPr>
        <w:t xml:space="preserve">Fig. XD</w:t>
      </w:r>
      <w:r>
        <w:rPr>
          <w:rFonts w:ascii="Arial" w:cs="Arial" w:eastAsia="Arial" w:hAnsi="Arial"/>
          <w:sz w:val="24"/>
          <w:szCs w:val="24"/>
        </w:rPr>
        <w:t xml:space="preserve">).</w:t>
      </w:r>
    </w:p>
    <w:p>
      <w:pPr>
        <w:pStyle w:val="Heading2"/>
        <w:spacing w:after="150" w:before="300"/>
      </w:pPr>
      <w:r>
        <w:rPr>
          <w:b/>
          <w:bCs/>
        </w:rPr>
        <w:t xml:space="preserve">Results: Heart Failure Outcomes</w:t>
      </w:r>
    </w:p>
    <w:p>
      <w:pPr>
        <w:shd w:fill="FFF3CD" w:val="clear"/>
        <w:spacing w:after="100"/>
      </w:pPr>
      <w:r>
        <w:rPr>
          <w:rFonts w:ascii="Arial" w:cs="Arial" w:eastAsia="Arial" w:hAnsi="Arial"/>
          <w:b/>
          <w:bCs/>
          <w:color w:val="CC0000"/>
          <w:sz w:val="20"/>
          <w:szCs w:val="20"/>
        </w:rPr>
        <w:t xml:space="preserve">REPLACE the existing “Heart Failure Outcomes” Results section (lines 424–439)</w:t>
      </w:r>
    </w:p>
    <w:p>
      <w:pPr>
        <w:spacing w:after="100" w:before="240"/>
      </w:pPr>
      <w:r>
        <w:rPr>
          <w:rFonts w:ascii="Arial" w:cs="Arial" w:eastAsia="Arial" w:hAnsi="Arial"/>
          <w:b/>
          <w:bCs/>
          <w:i/>
          <w:iCs/>
          <w:sz w:val="24"/>
          <w:szCs w:val="24"/>
        </w:rPr>
        <w:t xml:space="preserve">Heart Failure Outcomes.</w:t>
      </w:r>
    </w:p>
    <w:p>
      <w:pPr>
        <w:spacing w:after="120" w:line="480"/>
      </w:pPr>
      <w:r>
        <w:rPr>
          <w:rFonts w:ascii="Arial" w:cs="Arial" w:eastAsia="Arial" w:hAnsi="Arial"/>
          <w:sz w:val="24"/>
          <w:szCs w:val="24"/>
        </w:rPr>
        <w:t xml:space="preserve">Over the follow-up period, [</w:t>
      </w:r>
      <w:r>
        <w:rPr>
          <w:rFonts w:ascii="Arial" w:cs="Arial" w:eastAsia="Arial" w:hAnsi="Arial"/>
          <w:i/>
          <w:iCs/>
          <w:sz w:val="24"/>
          <w:szCs w:val="24"/>
        </w:rPr>
        <w:t xml:space="preserve">N</w:t>
      </w:r>
      <w:r>
        <w:rPr>
          <w:rFonts w:ascii="Arial" w:cs="Arial" w:eastAsia="Arial" w:hAnsi="Arial"/>
          <w:sz w:val="24"/>
          <w:szCs w:val="24"/>
        </w:rPr>
        <w:t xml:space="preserve">] patients ([</w:t>
      </w:r>
      <w:r>
        <w:rPr>
          <w:rFonts w:ascii="Arial" w:cs="Arial" w:eastAsia="Arial" w:hAnsi="Arial"/>
          <w:i/>
          <w:iCs/>
          <w:sz w:val="24"/>
          <w:szCs w:val="24"/>
        </w:rPr>
        <w:t xml:space="preserve">%</w:t>
      </w:r>
      <w:r>
        <w:rPr>
          <w:rFonts w:ascii="Arial" w:cs="Arial" w:eastAsia="Arial" w:hAnsi="Arial"/>
          <w:sz w:val="24"/>
          <w:szCs w:val="24"/>
        </w:rPr>
        <w:t xml:space="preserve">]) experienced a composite heart failure endpoint (acute heart failure hospitalization [n = </w:t>
      </w:r>
      <w:r>
        <w:rPr>
          <w:rFonts w:ascii="Arial" w:cs="Arial" w:eastAsia="Arial" w:hAnsi="Arial"/>
          <w:i/>
          <w:iCs/>
          <w:sz w:val="24"/>
          <w:szCs w:val="24"/>
        </w:rPr>
        <w:t xml:space="preserve">X</w:t>
      </w:r>
      <w:r>
        <w:rPr>
          <w:rFonts w:ascii="Arial" w:cs="Arial" w:eastAsia="Arial" w:hAnsi="Arial"/>
          <w:sz w:val="24"/>
          <w:szCs w:val="24"/>
        </w:rPr>
        <w:t xml:space="preserve">], heart transplantation [n = </w:t>
      </w:r>
      <w:r>
        <w:rPr>
          <w:rFonts w:ascii="Arial" w:cs="Arial" w:eastAsia="Arial" w:hAnsi="Arial"/>
          <w:i/>
          <w:iCs/>
          <w:sz w:val="24"/>
          <w:szCs w:val="24"/>
        </w:rPr>
        <w:t xml:space="preserve">X</w:t>
      </w:r>
      <w:r>
        <w:rPr>
          <w:rFonts w:ascii="Arial" w:cs="Arial" w:eastAsia="Arial" w:hAnsi="Arial"/>
          <w:sz w:val="24"/>
          <w:szCs w:val="24"/>
        </w:rPr>
        <w:t xml:space="preserve">], or death [n = </w:t>
      </w:r>
      <w:r>
        <w:rPr>
          <w:rFonts w:ascii="Arial" w:cs="Arial" w:eastAsia="Arial" w:hAnsi="Arial"/>
          <w:i/>
          <w:iCs/>
          <w:sz w:val="24"/>
          <w:szCs w:val="24"/>
        </w:rPr>
        <w:t xml:space="preserve">X</w:t>
      </w:r>
      <w:r>
        <w:rPr>
          <w:rFonts w:ascii="Arial" w:cs="Arial" w:eastAsia="Arial" w:hAnsi="Arial"/>
          <w:sz w:val="24"/>
          <w:szCs w:val="24"/>
        </w:rPr>
        <w:t xml:space="preserve">]). In a multivariable Cox proportional hazards model adjusting for age, sex, and lean body mass index, elevated LV filling pressures were associated with [a significantly increased / a non-significant trend toward increased] hazard of the composite endpoint relative to normal filling pressures (HR = [</w:t>
      </w:r>
      <w:r>
        <w:rPr>
          <w:rFonts w:ascii="Arial" w:cs="Arial" w:eastAsia="Arial" w:hAnsi="Arial"/>
          <w:i/>
          <w:iCs/>
          <w:sz w:val="24"/>
          <w:szCs w:val="24"/>
        </w:rPr>
        <w:t xml:space="preserve">value</w:t>
      </w:r>
      <w:r>
        <w:rPr>
          <w:rFonts w:ascii="Arial" w:cs="Arial" w:eastAsia="Arial" w:hAnsi="Arial"/>
          <w:sz w:val="24"/>
          <w:szCs w:val="24"/>
        </w:rPr>
        <w:t xml:space="preserve">], 95% CI [</w:t>
      </w:r>
      <w:r>
        <w:rPr>
          <w:rFonts w:ascii="Arial" w:cs="Arial" w:eastAsia="Arial" w:hAnsi="Arial"/>
          <w:i/>
          <w:iCs/>
          <w:sz w:val="24"/>
          <w:szCs w:val="24"/>
        </w:rPr>
        <w:t xml:space="preserve">CI</w:t>
      </w:r>
      <w:r>
        <w:rPr>
          <w:rFonts w:ascii="Arial" w:cs="Arial" w:eastAsia="Arial" w:hAnsi="Arial"/>
          <w:sz w:val="24"/>
          <w:szCs w:val="24"/>
        </w:rPr>
        <w:t xml:space="preserve">], </w:t>
      </w:r>
      <w:r>
        <w:rPr>
          <w:rFonts w:ascii="Arial" w:cs="Arial" w:eastAsia="Arial" w:hAnsi="Arial"/>
          <w:i/>
          <w:iCs/>
          <w:sz w:val="24"/>
          <w:szCs w:val="24"/>
        </w:rPr>
        <w:t xml:space="preserve">P</w:t>
      </w:r>
      <w:r>
        <w:rPr>
          <w:rFonts w:ascii="Arial" w:cs="Arial" w:eastAsia="Arial" w:hAnsi="Arial"/>
          <w:sz w:val="24"/>
          <w:szCs w:val="24"/>
        </w:rPr>
        <w:t xml:space="preserve"> = [</w:t>
      </w:r>
      <w:r>
        <w:rPr>
          <w:rFonts w:ascii="Arial" w:cs="Arial" w:eastAsia="Arial" w:hAnsi="Arial"/>
          <w:i/>
          <w:iCs/>
          <w:sz w:val="24"/>
          <w:szCs w:val="24"/>
        </w:rPr>
        <w:t xml:space="preserve">value</w:t>
      </w:r>
      <w:r>
        <w:rPr>
          <w:rFonts w:ascii="Arial" w:cs="Arial" w:eastAsia="Arial" w:hAnsi="Arial"/>
          <w:sz w:val="24"/>
          <w:szCs w:val="24"/>
        </w:rPr>
        <w:t xml:space="preserve">]; </w:t>
      </w:r>
      <w:r>
        <w:rPr>
          <w:rFonts w:ascii="Arial" w:cs="Arial" w:eastAsia="Arial" w:hAnsi="Arial"/>
          <w:b/>
          <w:bCs/>
          <w:sz w:val="24"/>
          <w:szCs w:val="24"/>
        </w:rPr>
        <w:t xml:space="preserve">Figure 5</w:t>
      </w:r>
      <w:r>
        <w:rPr>
          <w:rFonts w:ascii="Arial" w:cs="Arial" w:eastAsia="Arial" w:hAnsi="Arial"/>
          <w:sz w:val="24"/>
          <w:szCs w:val="24"/>
        </w:rPr>
        <w:t xml:space="preserve">).</w:t>
      </w:r>
    </w:p>
    <w:p>
      <w:pPr>
        <w:pStyle w:val="Heading2"/>
        <w:spacing w:after="150" w:before="300"/>
      </w:pPr>
      <w:r>
        <w:rPr>
          <w:b/>
          <w:bCs/>
        </w:rPr>
        <w:t xml:space="preserve">Results: Data-Driven Threshold Discovery</w:t>
      </w:r>
    </w:p>
    <w:p>
      <w:pPr>
        <w:shd w:fill="FFF3CD" w:val="clear"/>
        <w:spacing w:after="100"/>
      </w:pPr>
      <w:r>
        <w:rPr>
          <w:rFonts w:ascii="Arial" w:cs="Arial" w:eastAsia="Arial" w:hAnsi="Arial"/>
          <w:b/>
          <w:bCs/>
          <w:color w:val="CC0000"/>
          <w:sz w:val="20"/>
          <w:szCs w:val="20"/>
        </w:rPr>
        <w:t xml:space="preserve">INSERT after Heart Failure Outcomes and before DISCUSSION</w:t>
      </w:r>
    </w:p>
    <w:p>
      <w:pPr>
        <w:spacing w:after="100" w:before="240"/>
      </w:pPr>
      <w:r>
        <w:rPr>
          <w:rFonts w:ascii="Arial" w:cs="Arial" w:eastAsia="Arial" w:hAnsi="Arial"/>
          <w:b/>
          <w:bCs/>
          <w:i/>
          <w:iCs/>
          <w:sz w:val="24"/>
          <w:szCs w:val="24"/>
        </w:rPr>
        <w:t xml:space="preserve">Data-Driven Threshold Discovery.</w:t>
      </w:r>
    </w:p>
    <w:p>
      <w:pPr>
        <w:spacing w:after="120" w:line="480"/>
      </w:pPr>
      <w:r>
        <w:rPr>
          <w:rFonts w:ascii="Arial" w:cs="Arial" w:eastAsia="Arial" w:hAnsi="Arial"/>
          <w:sz w:val="24"/>
          <w:szCs w:val="24"/>
        </w:rPr>
        <w:t xml:space="preserve">To evaluate whether the ASE 2025 guideline cutoffs reflect data-driven inflection points in our HCM cohort, we applied OMAR to identify thresholds in the continuous relationship between diastolic indices and exercise capacity. Among the six diastolic variables entered as candidates, OMAR retained those with structurally significant piecewise-linear associations with each CPET outcome, automatically discarding variables that did not improve model fit beyond the GCV penalty.</w:t>
      </w:r>
    </w:p>
    <w:p>
      <w:pPr>
        <w:spacing w:after="120" w:line="480"/>
      </w:pPr>
      <w:r>
        <w:rPr>
          <w:rFonts w:ascii="Arial" w:cs="Arial" w:eastAsia="Arial" w:hAnsi="Arial"/>
          <w:sz w:val="24"/>
          <w:szCs w:val="24"/>
        </w:rPr>
        <w:t xml:space="preserve">For peak VO</w:t>
      </w:r>
      <w:r>
        <w:rPr>
          <w:vertAlign w:val="subscript"/>
        </w:rPr>
        <w:t xml:space="preserve">2</w:t>
      </w:r>
      <w:r>
        <w:rPr>
          <w:rFonts w:ascii="Arial" w:cs="Arial" w:eastAsia="Arial" w:hAnsi="Arial"/>
          <w:sz w:val="24"/>
          <w:szCs w:val="24"/>
        </w:rPr>
        <w:t xml:space="preserve"> (% predicted), OMAR identified data-driven breakpoints in [</w:t>
      </w:r>
      <w:r>
        <w:rPr>
          <w:rFonts w:ascii="Arial" w:cs="Arial" w:eastAsia="Arial" w:hAnsi="Arial"/>
          <w:i/>
          <w:iCs/>
          <w:sz w:val="24"/>
          <w:szCs w:val="24"/>
        </w:rPr>
        <w:t xml:space="preserve">N variables; specific knots to be reported after rendering</w:t>
      </w:r>
      <w:r>
        <w:rPr>
          <w:rFonts w:ascii="Arial" w:cs="Arial" w:eastAsia="Arial" w:hAnsi="Arial"/>
          <w:sz w:val="24"/>
          <w:szCs w:val="24"/>
        </w:rPr>
        <w:t xml:space="preserve">]. For VE/VCO</w:t>
      </w:r>
      <w:r>
        <w:rPr>
          <w:vertAlign w:val="subscript"/>
        </w:rPr>
        <w:t xml:space="preserve">2</w:t>
      </w:r>
      <w:r>
        <w:rPr>
          <w:rFonts w:ascii="Arial" w:cs="Arial" w:eastAsia="Arial" w:hAnsi="Arial"/>
          <w:sz w:val="24"/>
          <w:szCs w:val="24"/>
        </w:rPr>
        <w:t xml:space="preserve"> slope, [</w:t>
      </w:r>
      <w:r>
        <w:rPr>
          <w:rFonts w:ascii="Arial" w:cs="Arial" w:eastAsia="Arial" w:hAnsi="Arial"/>
          <w:i/>
          <w:iCs/>
          <w:sz w:val="24"/>
          <w:szCs w:val="24"/>
        </w:rPr>
        <w:t xml:space="preserve">N variables; specific knots to be reported after rendering</w:t>
      </w:r>
      <w:r>
        <w:rPr>
          <w:rFonts w:ascii="Arial" w:cs="Arial" w:eastAsia="Arial" w:hAnsi="Arial"/>
          <w:sz w:val="24"/>
          <w:szCs w:val="24"/>
        </w:rPr>
        <w:t xml:space="preserve">] were retained. Partial dependence plots illustrate the shape of these relationships (</w:t>
      </w:r>
      <w:r>
        <w:rPr>
          <w:rFonts w:ascii="Arial" w:cs="Arial" w:eastAsia="Arial" w:hAnsi="Arial"/>
          <w:b/>
          <w:bCs/>
          <w:sz w:val="24"/>
          <w:szCs w:val="24"/>
        </w:rPr>
        <w:t xml:space="preserve">Supplemental Figure S1</w:t>
      </w:r>
      <w:r>
        <w:rPr>
          <w:rFonts w:ascii="Arial" w:cs="Arial" w:eastAsia="Arial" w:hAnsi="Arial"/>
          <w:sz w:val="24"/>
          <w:szCs w:val="24"/>
        </w:rPr>
        <w:t xml:space="preserve">), with OMAR-discovered knots compared against corresponding ASE 2025 guideline cutoffs. [</w:t>
      </w:r>
      <w:r>
        <w:rPr>
          <w:rFonts w:ascii="Arial" w:cs="Arial" w:eastAsia="Arial" w:hAnsi="Arial"/>
          <w:i/>
          <w:iCs/>
          <w:sz w:val="24"/>
          <w:szCs w:val="24"/>
        </w:rPr>
        <w:t xml:space="preserve">Describe concordance/discordance findings after rendering</w:t>
      </w:r>
      <w:r>
        <w:rPr>
          <w:rFonts w:ascii="Arial" w:cs="Arial" w:eastAsia="Arial" w:hAnsi="Arial"/>
          <w:sz w:val="24"/>
          <w:szCs w:val="24"/>
        </w:rPr>
        <w:t xml:space="preserve">]. A complete listing of OMAR-discovered thresholds with their coefficients is provided in </w:t>
      </w:r>
      <w:r>
        <w:rPr>
          <w:rFonts w:ascii="Arial" w:cs="Arial" w:eastAsia="Arial" w:hAnsi="Arial"/>
          <w:b/>
          <w:bCs/>
          <w:sz w:val="24"/>
          <w:szCs w:val="24"/>
        </w:rPr>
        <w:t xml:space="preserve">Supplemental Table S1</w:t>
      </w:r>
      <w:r>
        <w:rPr>
          <w:rFonts w:ascii="Arial" w:cs="Arial" w:eastAsia="Arial" w:hAnsi="Arial"/>
          <w:sz w:val="24"/>
          <w:szCs w:val="24"/>
        </w:rPr>
        <w:t xml:space="preserve">.</w:t>
      </w:r>
    </w:p>
    <w:p>
      <w:r>
        <w:br w:type="page"/>
      </w:r>
    </w:p>
    <w:p>
      <w:pPr>
        <w:pStyle w:val="Heading1"/>
        <w:spacing w:after="150" w:before="300"/>
      </w:pPr>
      <w:r>
        <w:rPr>
          <w:b/>
          <w:bCs/>
        </w:rPr>
        <w:t xml:space="preserve">PART 3: DISCUSSION &amp; LIMITATIONS</w:t>
      </w:r>
    </w:p>
    <w:p>
      <w:pPr>
        <w:pStyle w:val="Heading2"/>
        <w:spacing w:after="150" w:before="300"/>
      </w:pPr>
      <w:r>
        <w:rPr>
          <w:b/>
          <w:bCs/>
        </w:rPr>
        <w:t xml:space="preserve">Discussion: HCM-Specific Classification</w:t>
      </w:r>
    </w:p>
    <w:p>
      <w:pPr>
        <w:shd w:fill="FFF3CD" w:val="clear"/>
        <w:spacing w:after="100"/>
      </w:pPr>
      <w:r>
        <w:rPr>
          <w:rFonts w:ascii="Arial" w:cs="Arial" w:eastAsia="Arial" w:hAnsi="Arial"/>
          <w:b/>
          <w:bCs/>
          <w:color w:val="CC0000"/>
          <w:sz w:val="20"/>
          <w:szCs w:val="20"/>
        </w:rPr>
        <w:t xml:space="preserve">INSERT as new paragraph in Discussion, before Limitations</w:t>
      </w:r>
    </w:p>
    <w:p>
      <w:pPr>
        <w:spacing w:after="120" w:line="480"/>
      </w:pPr>
      <w:r>
        <w:rPr>
          <w:rFonts w:ascii="Arial" w:cs="Arial" w:eastAsia="Arial" w:hAnsi="Arial"/>
          <w:sz w:val="24"/>
          <w:szCs w:val="24"/>
        </w:rPr>
        <w:t xml:space="preserve">Notably, we applied the HCM-specific pathway from the ASE 2025 guidelines, which presumes impaired myocardial relaxation and classifies patients into a binary framework of Normal vs. Elevated LV filling pressures. This disease-specific algorithm avoids the prognostically heterogeneous “Indeterminate” and “Grade I” categories that are common when applying the general-population framework to patients with hypertrophic myopathy. The binary classification [demonstrated / did not demonstrate] improved discrimination for cardiopulmonary fitness relative to the traditional multi-grade approach, [supporting / questioning] its clinical utility as a surrogate for functional capacity in HCM.</w:t>
      </w:r>
    </w:p>
    <w:p>
      <w:pPr>
        <w:pStyle w:val="Heading2"/>
        <w:spacing w:after="150" w:before="300"/>
      </w:pPr>
      <w:r>
        <w:rPr>
          <w:b/>
          <w:bCs/>
        </w:rPr>
        <w:t xml:space="preserve">Discussion: OMAR</w:t>
      </w:r>
    </w:p>
    <w:p>
      <w:pPr>
        <w:shd w:fill="FFF3CD" w:val="clear"/>
        <w:spacing w:after="100"/>
      </w:pPr>
      <w:r>
        <w:rPr>
          <w:rFonts w:ascii="Arial" w:cs="Arial" w:eastAsia="Arial" w:hAnsi="Arial"/>
          <w:b/>
          <w:bCs/>
          <w:color w:val="CC0000"/>
          <w:sz w:val="20"/>
          <w:szCs w:val="20"/>
        </w:rPr>
        <w:t xml:space="preserve">INSERT as a new paragraph after the HCM-specific classification paragraph above</w:t>
      </w:r>
    </w:p>
    <w:p>
      <w:pPr>
        <w:spacing w:after="120" w:line="480"/>
      </w:pPr>
      <w:r>
        <w:rPr>
          <w:rFonts w:ascii="Arial" w:cs="Arial" w:eastAsia="Arial" w:hAnsi="Arial"/>
          <w:sz w:val="24"/>
          <w:szCs w:val="24"/>
        </w:rPr>
        <w:t xml:space="preserve">Complementing our guideline-based analysis, we applied OMAR—a data-driven spline regression approach—to identify threshold breakpoints in the relationship between diastolic indices and exercise capacity without imposing pre-specified cutoffs. The [concordance/discordance] between OMAR-discovered knots and ASE 2025 cutoffs suggests that [</w:t>
      </w:r>
      <w:r>
        <w:rPr>
          <w:rFonts w:ascii="Arial" w:cs="Arial" w:eastAsia="Arial" w:hAnsi="Arial"/>
          <w:i/>
          <w:iCs/>
          <w:sz w:val="24"/>
          <w:szCs w:val="24"/>
        </w:rPr>
        <w:t xml:space="preserve">interpret: if concordant, supports guideline validity in HCM; if discordant, suggests HCM-specific thresholds may be needed</w:t>
      </w:r>
      <w:r>
        <w:rPr>
          <w:rFonts w:ascii="Arial" w:cs="Arial" w:eastAsia="Arial" w:hAnsi="Arial"/>
          <w:sz w:val="24"/>
          <w:szCs w:val="24"/>
        </w:rPr>
        <w:t xml:space="preserve">]. These findings reinforce the concept that expert-derived thresholds, while clinically practical, may not fully capture the disease-specific pathophysiology of diastolic impairment in HCM.</w:t>
      </w:r>
    </w:p>
    <w:p>
      <w:pPr>
        <w:pStyle w:val="Heading2"/>
        <w:spacing w:after="150" w:before="300"/>
      </w:pPr>
      <w:r>
        <w:rPr>
          <w:b/>
          <w:bCs/>
        </w:rPr>
        <w:t xml:space="preserve">Limitations (addenda)</w:t>
      </w:r>
    </w:p>
    <w:p>
      <w:pPr>
        <w:shd w:fill="FFF3CD" w:val="clear"/>
        <w:spacing w:after="100"/>
      </w:pPr>
      <w:r>
        <w:rPr>
          <w:rFonts w:ascii="Arial" w:cs="Arial" w:eastAsia="Arial" w:hAnsi="Arial"/>
          <w:b/>
          <w:bCs/>
          <w:color w:val="CC0000"/>
          <w:sz w:val="20"/>
          <w:szCs w:val="20"/>
        </w:rPr>
        <w:t xml:space="preserve">APPEND to the existing Limitations section</w:t>
      </w:r>
    </w:p>
    <w:p>
      <w:pPr>
        <w:spacing w:after="120" w:line="480"/>
      </w:pPr>
      <w:r>
        <w:rPr>
          <w:rFonts w:ascii="Arial" w:cs="Arial" w:eastAsia="Arial" w:hAnsi="Arial"/>
          <w:sz w:val="24"/>
          <w:szCs w:val="24"/>
        </w:rPr>
        <w:t xml:space="preserve">Left atrial reservoir strain (LARS) and pulmonary vein Ar–A duration difference were unavailable in this cohort, limiting the tiebreaker algorithm to the E/A ratio for discordant cases. The OMAR analysis, while providing complementary data-driven thresholds, is inherently exploratory and should be interpreted as hypothesis-generating. The identified knots are sample-specific and require external validation in independent HCM cohorts.</w:t>
      </w:r>
    </w:p>
    <w:p>
      <w:pPr>
        <w:pStyle w:val="Heading2"/>
        <w:spacing w:after="150" w:before="300"/>
      </w:pPr>
      <w:r>
        <w:rPr>
          <w:b/>
          <w:bCs/>
        </w:rPr>
        <w:t xml:space="preserve">Conclusion (revised)</w:t>
      </w:r>
    </w:p>
    <w:p>
      <w:pPr>
        <w:shd w:fill="FFF3CD" w:val="clear"/>
        <w:spacing w:after="100"/>
      </w:pPr>
      <w:r>
        <w:rPr>
          <w:rFonts w:ascii="Arial" w:cs="Arial" w:eastAsia="Arial" w:hAnsi="Arial"/>
          <w:b/>
          <w:bCs/>
          <w:color w:val="CC0000"/>
          <w:sz w:val="20"/>
          <w:szCs w:val="20"/>
        </w:rPr>
        <w:t xml:space="preserve">REPLACE the existing Conclusion (lines 498–505)</w:t>
      </w:r>
    </w:p>
    <w:p>
      <w:pPr>
        <w:spacing w:after="120" w:line="480"/>
      </w:pPr>
      <w:r>
        <w:rPr>
          <w:rFonts w:ascii="Arial" w:cs="Arial" w:eastAsia="Arial" w:hAnsi="Arial"/>
          <w:sz w:val="24"/>
          <w:szCs w:val="24"/>
        </w:rPr>
        <w:t xml:space="preserve">Our data support that resting LV filling pressure status, when rigorously classified using the ASE 2025 HCM-specific algorithm, shows a [modest / significant] association with cardiopulmonary fitness in nonobstructive HCM. Data-driven threshold discovery corroborated [several / the majority of] guideline cutoffs while identifying [disease-specific inflection points / areas of discordance] that warrant prospective validation. Furthermore, we show that resting diastology [fails to predict / modestly predicts] the longitudinal fitness trajectory, highlighting its [limited / conditional] utility as a surrogate of physiologic reserve.</w:t>
      </w:r>
    </w:p>
    <w:p>
      <w:r>
        <w:br w:type="page"/>
      </w:r>
    </w:p>
    <w:p>
      <w:pPr>
        <w:pStyle w:val="Heading1"/>
        <w:spacing w:after="150" w:before="300"/>
      </w:pPr>
      <w:r>
        <w:rPr>
          <w:b/>
          <w:bCs/>
        </w:rPr>
        <w:t xml:space="preserve">PART 4: FIGURE LEGENDS</w:t>
      </w:r>
    </w:p>
    <w:p>
      <w:pPr>
        <w:pStyle w:val="Heading2"/>
        <w:spacing w:after="150" w:before="300"/>
      </w:pPr>
      <w:r>
        <w:rPr>
          <w:b/>
          <w:bCs/>
        </w:rPr>
        <w:t xml:space="preserve">Figure X: LV Filling Pressure Classification (replaces prior ASE DD Grade figure)</w:t>
      </w:r>
    </w:p>
    <w:p>
      <w:pPr>
        <w:spacing w:after="120" w:line="480"/>
      </w:pPr>
      <w:r>
        <w:rPr>
          <w:rFonts w:ascii="Arial" w:cs="Arial" w:eastAsia="Arial" w:hAnsi="Arial"/>
          <w:b/>
          <w:bCs/>
          <w:sz w:val="24"/>
          <w:szCs w:val="24"/>
        </w:rPr>
        <w:t xml:space="preserve">Figure X. LV Filling Pressure Classification by the ASE 2025 HCM-Specific Algorithm. </w:t>
      </w:r>
      <w:r>
        <w:rPr>
          <w:rFonts w:ascii="Arial" w:cs="Arial" w:eastAsia="Arial" w:hAnsi="Arial"/>
          <w:sz w:val="24"/>
          <w:szCs w:val="24"/>
        </w:rPr>
        <w:t xml:space="preserve">In patients with HCM, impaired myocardial relaxation is presumed and filling pressures are classified as Normal or Elevated using three concordance criteria. </w:t>
      </w:r>
      <w:r>
        <w:rPr>
          <w:rFonts w:ascii="Arial" w:cs="Arial" w:eastAsia="Arial" w:hAnsi="Arial"/>
          <w:b/>
          <w:bCs/>
          <w:sz w:val="24"/>
          <w:szCs w:val="24"/>
        </w:rPr>
        <w:t xml:space="preserve">(A)</w:t>
      </w:r>
      <w:r>
        <w:rPr>
          <w:rFonts w:ascii="Arial" w:cs="Arial" w:eastAsia="Arial" w:hAnsi="Arial"/>
          <w:sz w:val="24"/>
          <w:szCs w:val="24"/>
        </w:rPr>
        <w:t xml:space="preserve"> Distribution of filling pressure classification (Normal vs. Elevated). </w:t>
      </w:r>
      <w:r>
        <w:rPr>
          <w:rFonts w:ascii="Arial" w:cs="Arial" w:eastAsia="Arial" w:hAnsi="Arial"/>
          <w:b/>
          <w:bCs/>
          <w:sz w:val="24"/>
          <w:szCs w:val="24"/>
        </w:rPr>
        <w:t xml:space="preserve">(B)</w:t>
      </w:r>
      <w:r>
        <w:rPr>
          <w:rFonts w:ascii="Arial" w:cs="Arial" w:eastAsia="Arial" w:hAnsi="Arial"/>
          <w:sz w:val="24"/>
          <w:szCs w:val="24"/>
        </w:rPr>
        <w:t xml:space="preserve"> Heatmap showing prevalence (%) of each individual criterion (E/e′ &gt;14, LAVI &gt;34 mL/m</w:t>
      </w:r>
      <w:r>
        <w:rPr>
          <w:vertAlign w:val="superscript"/>
        </w:rPr>
        <w:t xml:space="preserve">2</w:t>
      </w:r>
      <w:r>
        <w:rPr>
          <w:rFonts w:ascii="Arial" w:cs="Arial" w:eastAsia="Arial" w:hAnsi="Arial"/>
          <w:sz w:val="24"/>
          <w:szCs w:val="24"/>
        </w:rPr>
        <w:t xml:space="preserve">, TR V</w:t>
      </w:r>
      <w:r>
        <w:rPr>
          <w:vertAlign w:val="subscript"/>
        </w:rPr>
        <w:t xml:space="preserve">max</w:t>
      </w:r>
      <w:r>
        <w:rPr>
          <w:rFonts w:ascii="Arial" w:cs="Arial" w:eastAsia="Arial" w:hAnsi="Arial"/>
          <w:sz w:val="24"/>
          <w:szCs w:val="24"/>
        </w:rPr>
        <w:t xml:space="preserve"> &gt;2.8 m/s) by filling pressure group. </w:t>
      </w:r>
      <w:r>
        <w:rPr>
          <w:rFonts w:ascii="Arial" w:cs="Arial" w:eastAsia="Arial" w:hAnsi="Arial"/>
          <w:b/>
          <w:bCs/>
          <w:sz w:val="24"/>
          <w:szCs w:val="24"/>
        </w:rPr>
        <w:t xml:space="preserve">(C)</w:t>
      </w:r>
      <w:r>
        <w:rPr>
          <w:rFonts w:ascii="Arial" w:cs="Arial" w:eastAsia="Arial" w:hAnsi="Arial"/>
          <w:sz w:val="24"/>
          <w:szCs w:val="24"/>
        </w:rPr>
        <w:t xml:space="preserve"> Box plots of peak VO</w:t>
      </w:r>
      <w:r>
        <w:rPr>
          <w:vertAlign w:val="subscript"/>
        </w:rPr>
        <w:t xml:space="preserve">2</w:t>
      </w:r>
      <w:r>
        <w:rPr>
          <w:rFonts w:ascii="Arial" w:cs="Arial" w:eastAsia="Arial" w:hAnsi="Arial"/>
          <w:sz w:val="24"/>
          <w:szCs w:val="24"/>
        </w:rPr>
        <w:t xml:space="preserve"> (% predicted, FRIEND 2.0) by filling pressure classification, with individual data points overlaid; Wilcoxon rank-sum </w:t>
      </w:r>
      <w:r>
        <w:rPr>
          <w:rFonts w:ascii="Arial" w:cs="Arial" w:eastAsia="Arial" w:hAnsi="Arial"/>
          <w:i/>
          <w:iCs/>
          <w:sz w:val="24"/>
          <w:szCs w:val="24"/>
        </w:rPr>
        <w:t xml:space="preserve">p</w:t>
      </w:r>
      <w:r>
        <w:rPr>
          <w:rFonts w:ascii="Arial" w:cs="Arial" w:eastAsia="Arial" w:hAnsi="Arial"/>
          <w:sz w:val="24"/>
          <w:szCs w:val="24"/>
        </w:rPr>
        <w:t xml:space="preserve">-value shown. </w:t>
      </w:r>
      <w:r>
        <w:rPr>
          <w:rFonts w:ascii="Arial" w:cs="Arial" w:eastAsia="Arial" w:hAnsi="Arial"/>
          <w:b/>
          <w:bCs/>
          <w:sz w:val="24"/>
          <w:szCs w:val="24"/>
        </w:rPr>
        <w:t xml:space="preserve">(D)</w:t>
      </w:r>
      <w:r>
        <w:rPr>
          <w:rFonts w:ascii="Arial" w:cs="Arial" w:eastAsia="Arial" w:hAnsi="Arial"/>
          <w:sz w:val="24"/>
          <w:szCs w:val="24"/>
        </w:rPr>
        <w:t xml:space="preserve"> Box plots of VE/VCO</w:t>
      </w:r>
      <w:r>
        <w:rPr>
          <w:vertAlign w:val="subscript"/>
        </w:rPr>
        <w:t xml:space="preserve">2</w:t>
      </w:r>
      <w:r>
        <w:rPr>
          <w:rFonts w:ascii="Arial" w:cs="Arial" w:eastAsia="Arial" w:hAnsi="Arial"/>
          <w:sz w:val="24"/>
          <w:szCs w:val="24"/>
        </w:rPr>
        <w:t xml:space="preserve"> slope by filling pressure classification. ASE = American Society of Echocardiography; E/e′ = ratio of early mitral inflow to mitral annular tissue velocity; HCM = hypertrophic cardiomyopathy; LAVI = left atrial volume index; TR V</w:t>
      </w:r>
      <w:r>
        <w:rPr>
          <w:vertAlign w:val="subscript"/>
        </w:rPr>
        <w:t xml:space="preserve">max</w:t>
      </w:r>
      <w:r>
        <w:rPr>
          <w:rFonts w:ascii="Arial" w:cs="Arial" w:eastAsia="Arial" w:hAnsi="Arial"/>
          <w:sz w:val="24"/>
          <w:szCs w:val="24"/>
        </w:rPr>
        <w:t xml:space="preserve"> = peak tricuspid regurgitation velocity; VO</w:t>
      </w:r>
      <w:r>
        <w:rPr>
          <w:vertAlign w:val="subscript"/>
        </w:rPr>
        <w:t xml:space="preserve">2</w:t>
      </w:r>
      <w:r>
        <w:rPr>
          <w:rFonts w:ascii="Arial" w:cs="Arial" w:eastAsia="Arial" w:hAnsi="Arial"/>
          <w:sz w:val="24"/>
          <w:szCs w:val="24"/>
        </w:rPr>
        <w:t xml:space="preserve"> = oxygen consumption.</w:t>
      </w:r>
    </w:p>
    <w:p>
      <w:pPr>
        <w:pStyle w:val="Heading2"/>
        <w:spacing w:after="150" w:before="300"/>
      </w:pPr>
      <w:r>
        <w:rPr>
          <w:b/>
          <w:bCs/>
        </w:rPr>
        <w:t xml:space="preserve">Figure 5: KM Survival by Filling Pressure (replaces prior KM by DD Grade)</w:t>
      </w:r>
    </w:p>
    <w:p>
      <w:pPr>
        <w:spacing w:after="120" w:line="480"/>
      </w:pPr>
      <w:r>
        <w:rPr>
          <w:rFonts w:ascii="Arial" w:cs="Arial" w:eastAsia="Arial" w:hAnsi="Arial"/>
          <w:b/>
          <w:bCs/>
          <w:sz w:val="24"/>
          <w:szCs w:val="24"/>
        </w:rPr>
        <w:t xml:space="preserve">Figure 5. Composite Heart Failure Endpoint by LV Filling Pressure Classification. </w:t>
      </w:r>
      <w:r>
        <w:rPr>
          <w:rFonts w:ascii="Arial" w:cs="Arial" w:eastAsia="Arial" w:hAnsi="Arial"/>
          <w:sz w:val="24"/>
          <w:szCs w:val="24"/>
        </w:rPr>
        <w:t xml:space="preserve">Kaplan–Meier curves for event-free survival (composite of acute heart failure hospitalization, heart transplantation, or death) stratified by ASE 2025 HCM-specific filling pressure classification (Normal [blue] vs. Elevated [red]). Shaded ribbons indicate 95% confidence intervals. Log-rank </w:t>
      </w:r>
      <w:r>
        <w:rPr>
          <w:rFonts w:ascii="Arial" w:cs="Arial" w:eastAsia="Arial" w:hAnsi="Arial"/>
          <w:i/>
          <w:iCs/>
          <w:sz w:val="24"/>
          <w:szCs w:val="24"/>
        </w:rPr>
        <w:t xml:space="preserve">p</w:t>
      </w:r>
      <w:r>
        <w:rPr>
          <w:rFonts w:ascii="Arial" w:cs="Arial" w:eastAsia="Arial" w:hAnsi="Arial"/>
          <w:sz w:val="24"/>
          <w:szCs w:val="24"/>
        </w:rPr>
        <w:t xml:space="preserve">-value [reported]. HR = hazard ratio from multivariable Cox regression adjusting for age, sex, and lean body mass index.</w:t>
      </w:r>
    </w:p>
    <w:p>
      <w:r>
        <w:br w:type="page"/>
      </w:r>
    </w:p>
    <w:p>
      <w:pPr>
        <w:pStyle w:val="Heading1"/>
        <w:spacing w:after="150" w:before="300"/>
      </w:pPr>
      <w:r>
        <w:rPr>
          <w:b/>
          <w:bCs/>
        </w:rPr>
        <w:t xml:space="preserve">PART 5: SUPPLEMENTAL MATERIALS</w:t>
      </w:r>
    </w:p>
    <w:p>
      <w:pPr>
        <w:spacing w:after="100" w:before="240"/>
      </w:pPr>
      <w:r>
        <w:rPr>
          <w:rFonts w:ascii="Arial" w:cs="Arial" w:eastAsia="Arial" w:hAnsi="Arial"/>
          <w:b/>
          <w:bCs/>
          <w:i/>
          <w:iCs/>
          <w:sz w:val="24"/>
          <w:szCs w:val="24"/>
        </w:rPr>
        <w:t xml:space="preserve">Supplemental Figure S1. Data-Driven Diastolic Thresholds Identified by OMAR.</w:t>
      </w:r>
    </w:p>
    <w:p>
      <w:pPr>
        <w:spacing w:after="120" w:line="480"/>
      </w:pPr>
      <w:r>
        <w:rPr>
          <w:rFonts w:ascii="Arial" w:cs="Arial" w:eastAsia="Arial" w:hAnsi="Arial"/>
          <w:sz w:val="24"/>
          <w:szCs w:val="24"/>
        </w:rPr>
        <w:t xml:space="preserve">Partial dependence plots showing the piecewise-linear relationship between each diastolic index and CPET outcomes (peak VO</w:t>
      </w:r>
      <w:r>
        <w:rPr>
          <w:vertAlign w:val="subscript"/>
        </w:rPr>
        <w:t xml:space="preserve">2</w:t>
      </w:r>
      <w:r>
        <w:rPr>
          <w:rFonts w:ascii="Arial" w:cs="Arial" w:eastAsia="Arial" w:hAnsi="Arial"/>
          <w:sz w:val="24"/>
          <w:szCs w:val="24"/>
        </w:rPr>
        <w:t xml:space="preserve"> % predicted [top row] and VE/VCO</w:t>
      </w:r>
      <w:r>
        <w:rPr>
          <w:vertAlign w:val="subscript"/>
        </w:rPr>
        <w:t xml:space="preserve">2</w:t>
      </w:r>
      <w:r>
        <w:rPr>
          <w:rFonts w:ascii="Arial" w:cs="Arial" w:eastAsia="Arial" w:hAnsi="Arial"/>
          <w:sz w:val="24"/>
          <w:szCs w:val="24"/>
        </w:rPr>
        <w:t xml:space="preserve"> slope [bottom row]). Each panel displays the predicted outcome as a function of one diastolic variable while holding all others at their median values. </w:t>
      </w:r>
      <w:r>
        <w:rPr>
          <w:rFonts w:ascii="Arial" w:cs="Arial" w:eastAsia="Arial" w:hAnsi="Arial"/>
          <w:b/>
          <w:bCs/>
          <w:sz w:val="24"/>
          <w:szCs w:val="24"/>
        </w:rPr>
        <w:t xml:space="preserve">Solid red vertical lines</w:t>
      </w:r>
      <w:r>
        <w:rPr>
          <w:rFonts w:ascii="Arial" w:cs="Arial" w:eastAsia="Arial" w:hAnsi="Arial"/>
          <w:sz w:val="24"/>
          <w:szCs w:val="24"/>
        </w:rPr>
        <w:t xml:space="preserve"> indicate OMAR-discovered knots (data-driven breakpoints). </w:t>
      </w:r>
      <w:r>
        <w:rPr>
          <w:rFonts w:ascii="Arial" w:cs="Arial" w:eastAsia="Arial" w:hAnsi="Arial"/>
          <w:b/>
          <w:bCs/>
          <w:sz w:val="24"/>
          <w:szCs w:val="24"/>
        </w:rPr>
        <w:t xml:space="preserve">Dashed blue vertical lines</w:t>
      </w:r>
      <w:r>
        <w:rPr>
          <w:rFonts w:ascii="Arial" w:cs="Arial" w:eastAsia="Arial" w:hAnsi="Arial"/>
          <w:sz w:val="24"/>
          <w:szCs w:val="24"/>
        </w:rPr>
        <w:t xml:space="preserve"> indicate corresponding ASE 2025 guideline cutoffs. CPET = cardiopulmonary exercise testing; OMAR = Open Multivariate Adaptive Regression.</w:t>
      </w:r>
    </w:p>
    <w:p>
      <w:pPr>
        <w:spacing w:after="100" w:before="240"/>
      </w:pPr>
      <w:r>
        <w:rPr>
          <w:rFonts w:ascii="Arial" w:cs="Arial" w:eastAsia="Arial" w:hAnsi="Arial"/>
          <w:b/>
          <w:bCs/>
          <w:i/>
          <w:iCs/>
          <w:sz w:val="24"/>
          <w:szCs w:val="24"/>
        </w:rPr>
        <w:t xml:space="preserve">Supplemental Table S1. OMAR-Discovered Diastolic Thresholds for CPET Outcomes.</w:t>
      </w:r>
    </w:p>
    <w:p>
      <w:pPr>
        <w:spacing w:after="120" w:line="480"/>
      </w:pPr>
      <w:r>
        <w:rPr>
          <w:rFonts w:ascii="Arial" w:cs="Arial" w:eastAsia="Arial" w:hAnsi="Arial"/>
          <w:sz w:val="24"/>
          <w:szCs w:val="24"/>
        </w:rPr>
        <w:t xml:space="preserve">For each CPET outcome, OMAR-discovered hinge function knots are listed with their corresponding variable, threshold value, coefficient, and basis function type. Model fit reported as R</w:t>
      </w:r>
      <w:r>
        <w:rPr>
          <w:vertAlign w:val="superscript"/>
        </w:rPr>
        <w:t xml:space="preserve">2</w:t>
      </w:r>
      <w:r>
        <w:rPr>
          <w:rFonts w:ascii="Arial" w:cs="Arial" w:eastAsia="Arial" w:hAnsi="Arial"/>
          <w:sz w:val="24"/>
          <w:szCs w:val="24"/>
        </w:rPr>
        <w:t xml:space="preserve"> and lack-of-fit (LOF). ASE 2025 cutoffs provided for comparison. [Auto-generated from Table_S1_OMAR_Thresholds.csv upon rendering.]</w:t>
      </w:r>
    </w:p>
    <w:p>
      <w:pPr>
        <w:spacing w:after="100" w:before="240"/>
      </w:pPr>
      <w:r>
        <w:rPr>
          <w:rFonts w:ascii="Arial" w:cs="Arial" w:eastAsia="Arial" w:hAnsi="Arial"/>
          <w:b/>
          <w:bCs/>
          <w:i/>
          <w:iCs/>
          <w:sz w:val="24"/>
          <w:szCs w:val="24"/>
        </w:rPr>
        <w:t xml:space="preserve">Supplemental Table S2. OMAR vs ASE 2025 Cutoff Concordance.</w:t>
      </w:r>
    </w:p>
    <w:p>
      <w:pPr>
        <w:spacing w:after="120" w:line="480"/>
      </w:pPr>
      <w:r>
        <w:rPr>
          <w:rFonts w:ascii="Arial" w:cs="Arial" w:eastAsia="Arial" w:hAnsi="Arial"/>
          <w:sz w:val="24"/>
          <w:szCs w:val="24"/>
        </w:rPr>
        <w:t xml:space="preserve">Side-by-side comparison of OMAR-discovered breakpoints and ASE 2025 guideline cutoffs. [Auto-generated from Table_S2_OMAR_vs_ASE.csv upon rendering.]</w:t>
      </w:r>
    </w:p>
    <w:p>
      <w:pPr>
        <w:pStyle w:val="Heading1"/>
        <w:spacing w:after="150" w:before="300"/>
      </w:pPr>
      <w:r>
        <w:rPr>
          <w:b/>
          <w:bCs/>
        </w:rPr>
        <w:t xml:space="preserve">REFERENCES TO ADD</w:t>
      </w:r>
    </w:p>
    <w:p>
      <w:pPr>
        <w:spacing w:after="120" w:line="480"/>
      </w:pPr>
      <w:r>
        <w:rPr>
          <w:rFonts w:ascii="Arial" w:cs="Arial" w:eastAsia="Arial" w:hAnsi="Arial"/>
          <w:sz w:val="24"/>
          <w:szCs w:val="24"/>
        </w:rPr>
        <w:t xml:space="preserve">31. Friedman, J. H. Multivariate adaptive regression splines. </w:t>
      </w:r>
      <w:r>
        <w:rPr>
          <w:rFonts w:ascii="Arial" w:cs="Arial" w:eastAsia="Arial" w:hAnsi="Arial"/>
          <w:i/>
          <w:iCs/>
          <w:sz w:val="24"/>
          <w:szCs w:val="24"/>
        </w:rPr>
        <w:t xml:space="preserve">Ann. Stat.</w:t>
      </w:r>
      <w:r>
        <w:rPr>
          <w:rFonts w:ascii="Arial" w:cs="Arial" w:eastAsia="Arial" w:hAnsi="Arial"/>
          <w:sz w:val="24"/>
          <w:szCs w:val="24"/>
        </w:rPr>
        <w:t xml:space="preserve"> </w:t>
      </w:r>
      <w:r>
        <w:rPr>
          <w:rFonts w:ascii="Arial" w:cs="Arial" w:eastAsia="Arial" w:hAnsi="Arial"/>
          <w:b/>
          <w:bCs/>
          <w:sz w:val="24"/>
          <w:szCs w:val="24"/>
        </w:rPr>
        <w:t xml:space="preserve">19</w:t>
      </w:r>
      <w:r>
        <w:rPr>
          <w:rFonts w:ascii="Arial" w:cs="Arial" w:eastAsia="Arial" w:hAnsi="Arial"/>
          <w:sz w:val="24"/>
          <w:szCs w:val="24"/>
        </w:rPr>
        <w:t xml:space="preserve">, 1–67 (1991).</w:t>
      </w:r>
    </w:p>
    <w:p>
      <w:pPr>
        <w:spacing w:after="120" w:line="480"/>
      </w:pPr>
      <w:r>
        <w:rPr>
          <w:rFonts w:ascii="Arial" w:cs="Arial" w:eastAsia="Arial" w:hAnsi="Arial"/>
          <w:sz w:val="24"/>
          <w:szCs w:val="24"/>
        </w:rPr>
        <w:t xml:space="preserve">32. Walter, L., et al. OMAR: Open Multivariate Adaptive Regression. Technical University of Munich. </w:t>
      </w:r>
      <w:r>
        <w:rPr>
          <w:rFonts w:ascii="Arial" w:cs="Arial" w:eastAsia="Arial" w:hAnsi="Arial"/>
          <w:i/>
          <w:iCs/>
          <w:sz w:val="24"/>
          <w:szCs w:val="24"/>
        </w:rPr>
        <w:t xml:space="preserve">https://github.com/lmwalter/omar</w:t>
      </w:r>
      <w:r>
        <w:rPr>
          <w:rFonts w:ascii="Arial" w:cs="Arial" w:eastAsia="Arial" w:hAnsi="Arial"/>
          <w:sz w:val="24"/>
          <w:szCs w:val="24"/>
        </w:rPr>
        <w:t xml:space="preserve"> (2024).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8"/>
      <w:szCs w:val="28"/>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2026-03-26T18:28:38.280Z</dcterms:created>
  <dcterms:modified xsi:type="dcterms:W3CDTF">2026-03-26T18:28:38.281Z</dcterms:modified>
</cp:coreProperties>
</file>

<file path=docProps/custom.xml><?xml version="1.0" encoding="utf-8"?>
<Properties xmlns="http://schemas.openxmlformats.org/officeDocument/2006/custom-properties" xmlns:vt="http://schemas.openxmlformats.org/officeDocument/2006/docPropsVTypes"/>
</file>