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A237E"/>
          <w:sz w:val="80"/>
        </w:rPr>
        <w:t>ARSA ANALİZ RAPORU</w:t>
      </w:r>
    </w:p>
    <w:p>
      <w:pPr>
        <w:pStyle w:val="Heading1"/>
        <w:jc w:val="center"/>
      </w:pPr>
      <w:r>
        <w:rPr>
          <w:color w:val="3F51B5"/>
          <w:sz w:val="56"/>
        </w:rPr>
        <w:t>Çanakkale, Merkez</w:t>
      </w:r>
    </w:p>
    <w:p>
      <w:pPr>
        <w:jc w:val="center"/>
      </w:pPr>
      <w:r>
        <w:rPr>
          <w:color w:val="607D8B"/>
          <w:sz w:val="28"/>
        </w:rPr>
        <w:t>21.04.2025</w:t>
      </w:r>
    </w:p>
    <w:p>
      <w:r>
        <w:br w:type="page"/>
      </w:r>
    </w:p>
    <w:p>
      <w:pPr>
        <w:pStyle w:val="Heading1"/>
      </w:pPr>
      <w:r>
        <w:rPr>
          <w:sz w:val="48"/>
        </w:rPr>
        <w:t>İçindekiler</w:t>
      </w:r>
    </w:p>
    <w:p>
      <w:r>
        <w:rPr>
          <w:sz w:val="28"/>
        </w:rPr>
        <w:t>1. Arsa Bilgileri</w:t>
      </w:r>
    </w:p>
    <w:p>
      <w:r>
        <w:rPr>
          <w:sz w:val="28"/>
        </w:rPr>
        <w:t>2. Altyapı Durumu</w:t>
      </w:r>
    </w:p>
    <w:p>
      <w:r>
        <w:rPr>
          <w:sz w:val="28"/>
        </w:rPr>
        <w:t>3. SWOT Analizi</w:t>
      </w:r>
    </w:p>
    <w:p>
      <w:r>
        <w:rPr>
          <w:sz w:val="28"/>
        </w:rPr>
        <w:t>4. Analiz Özeti</w:t>
      </w:r>
    </w:p>
    <w:p>
      <w:r>
        <w:br w:type="page"/>
      </w:r>
    </w:p>
    <w:p>
      <w:pPr>
        <w:pStyle w:val="Heading1"/>
      </w:pPr>
      <w:r>
        <w:rPr>
          <w:color w:val="1A237E"/>
          <w:sz w:val="48"/>
        </w:rPr>
        <w:t>Arsa Bilgileri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5394"/>
      </w:tblGrid>
      <w:tr>
        <w:tc>
          <w:tcPr>
            <w:tcW w:type="dxa" w:w="15394"/>
            <w:shd w:fill="F5F5F5"/>
          </w:tcPr>
          <w:p>
            <w:pPr>
              <w:jc w:val="center"/>
            </w:pPr>
            <w:r>
              <w:rPr>
                <w:b/>
              </w:rPr>
              <w:t>📍 Lokasyon</w:t>
              <w:br/>
            </w:r>
            <w:r>
              <w:br/>
              <w:t>Çanakkale/Merkez</w:t>
              <w:br/>
            </w:r>
            <w:r>
              <w:t>Mahalle: Barbaros</w:t>
              <w:br/>
            </w:r>
            <w:r>
              <w:t>Ada/Parsel: 120/2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131"/>
        <w:gridCol w:w="5131"/>
        <w:gridCol w:w="5131"/>
      </w:tblGrid>
      <w:tr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Alan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İmar Durumu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Fiyat</w:t>
            </w:r>
          </w:p>
        </w:tc>
      </w:tr>
      <w:tr>
        <w:tc>
          <w:tcPr>
            <w:tcW w:type="dxa" w:w="5131"/>
            <w:shd w:fill="E8EAF6"/>
          </w:tcPr>
          <w:p>
            <w:r>
              <w:t>5,700.00 m²</w:t>
            </w:r>
          </w:p>
        </w:tc>
        <w:tc>
          <w:tcPr>
            <w:tcW w:type="dxa" w:w="5131"/>
            <w:shd w:fill="E8EAF6"/>
          </w:tcPr>
          <w:p>
            <w:r>
              <w:t>karma</w:t>
            </w:r>
          </w:p>
        </w:tc>
        <w:tc>
          <w:tcPr>
            <w:tcW w:type="dxa" w:w="5131"/>
            <w:shd w:fill="E8EAF6"/>
          </w:tcPr>
          <w:p>
            <w:r>
              <w:t>1,123,311.00 TL</w:t>
            </w:r>
          </w:p>
        </w:tc>
      </w:tr>
      <w:tr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TAKS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KAKS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m² Fiyatı</w:t>
            </w:r>
          </w:p>
        </w:tc>
      </w:tr>
      <w:tr>
        <w:tc>
          <w:tcPr>
            <w:tcW w:type="dxa" w:w="5131"/>
            <w:shd w:fill="E8EAF6"/>
          </w:tcPr>
          <w:p>
            <w:r>
              <w:t>0.4</w:t>
            </w:r>
          </w:p>
        </w:tc>
        <w:tc>
          <w:tcPr>
            <w:tcW w:type="dxa" w:w="5131"/>
            <w:shd w:fill="E8EAF6"/>
          </w:tcPr>
          <w:p>
            <w:r>
              <w:t>2.4</w:t>
            </w:r>
          </w:p>
        </w:tc>
        <w:tc>
          <w:tcPr>
            <w:tcW w:type="dxa" w:w="5131"/>
            <w:shd w:fill="E8EAF6"/>
          </w:tcPr>
          <w:p>
            <w:r>
              <w:t>197.07 TL</w:t>
            </w:r>
          </w:p>
        </w:tc>
      </w:tr>
    </w:tbl>
    <w:p>
      <w:pPr>
        <w:pStyle w:val="Heading1"/>
      </w:pPr>
      <w:r>
        <w:rPr>
          <w:color w:val="1A237E"/>
          <w:sz w:val="48"/>
        </w:rPr>
        <w:t>Altyapı Durumu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79"/>
        <w:gridCol w:w="3079"/>
        <w:gridCol w:w="3079"/>
        <w:gridCol w:w="3079"/>
        <w:gridCol w:w="3079"/>
      </w:tblGrid>
      <w:tr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Yol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Elektrik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Su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Doğalgaz</w:t>
              <w:br/>
              <w:br/>
            </w:r>
            <w:r>
              <w:rPr>
                <w:color w:val="F44336"/>
                <w:sz w:val="48"/>
              </w:rPr>
              <w:t>✗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Kanalizasyon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</w:tr>
    </w:tbl>
    <w:p>
      <w:pPr>
        <w:pStyle w:val="Heading1"/>
      </w:pPr>
      <w:r>
        <w:rPr>
          <w:color w:val="1A237E"/>
        </w:rPr>
        <w:t>SWOT Analizi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697"/>
        <w:gridCol w:w="7697"/>
      </w:tblGrid>
      <w:tr>
        <w:tc>
          <w:tcPr>
            <w:tcW w:type="dxa" w:w="7697"/>
            <w:shd w:fill="4CAF50"/>
          </w:tcPr>
          <w:p>
            <w:pPr>
              <w:jc w:val="center"/>
            </w:pPr>
            <w:r>
              <w:rPr>
                <w:b/>
                <w:color w:val="FFFFFF"/>
              </w:rPr>
              <w:t>Güçlü Yönler</w:t>
            </w:r>
          </w:p>
          <w:p>
            <w:pPr>
              <w:pStyle w:val="ListBullet"/>
            </w:pPr>
            <w:r>
              <w:rPr>
                <w:color w:val="FFFFFF"/>
              </w:rPr>
              <w:t>Lapseki'de köprü dibinde</w:t>
            </w:r>
          </w:p>
        </w:tc>
        <w:tc>
          <w:tcPr>
            <w:tcW w:type="dxa" w:w="7697"/>
            <w:shd w:fill="F44336"/>
          </w:tcPr>
          <w:p>
            <w:pPr>
              <w:jc w:val="center"/>
            </w:pPr>
            <w:r>
              <w:rPr>
                <w:b/>
                <w:color w:val="FFFFFF"/>
              </w:rPr>
              <w:t>Zayıf Yönler</w:t>
            </w:r>
          </w:p>
          <w:p>
            <w:pPr>
              <w:pStyle w:val="ListBullet"/>
            </w:pPr>
            <w:r>
              <w:rPr>
                <w:color w:val="FFFFFF"/>
              </w:rPr>
              <w:t>altyapı sıkıntısı</w:t>
            </w:r>
          </w:p>
        </w:tc>
      </w:tr>
      <w:tr>
        <w:tc>
          <w:tcPr>
            <w:tcW w:type="dxa" w:w="7697"/>
            <w:shd w:fill="2196F3"/>
          </w:tcPr>
          <w:p>
            <w:pPr>
              <w:jc w:val="center"/>
            </w:pPr>
            <w:r>
              <w:rPr>
                <w:b/>
                <w:color w:val="FFFFFF"/>
              </w:rPr>
              <w:t>Fırsatlar</w:t>
            </w:r>
          </w:p>
          <w:p>
            <w:pPr>
              <w:pStyle w:val="ListBullet"/>
            </w:pPr>
            <w:r>
              <w:rPr>
                <w:color w:val="FFFFFF"/>
              </w:rPr>
              <w:t>1213</w:t>
            </w:r>
          </w:p>
        </w:tc>
        <w:tc>
          <w:tcPr>
            <w:tcW w:type="dxa" w:w="7697"/>
            <w:shd w:fill="FF9800"/>
          </w:tcPr>
          <w:p>
            <w:pPr>
              <w:jc w:val="center"/>
            </w:pPr>
            <w:r>
              <w:rPr>
                <w:b/>
                <w:color w:val="FFFFFF"/>
              </w:rPr>
              <w:t>Tehditler</w:t>
            </w:r>
          </w:p>
          <w:p>
            <w:pPr>
              <w:pStyle w:val="ListBullet"/>
            </w:pPr>
            <w:r>
              <w:rPr>
                <w:color w:val="FFFFFF"/>
              </w:rPr>
              <w:t>123213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237E"/>
        </w:rPr>
        <w:t>Analiz Özeti</w:t>
      </w:r>
    </w:p>
    <w:p>
      <w:r>
        <w:rPr>
          <w:b/>
        </w:rPr>
        <w:t>Temel Değerlendirme</w:t>
        <w:br/>
      </w:r>
      <w:r>
        <w:t>Barbaros, Merkez, Çanakkale konumunda bulunan 5700.0 m² büyüklüğündeki karma imarlı arsa, 1,123,311.00 TL fiyatla satılmaktadır. Metrekare fiyatı 197.07 TL/m² olup, bölge ortalaması olan 113.00 TL/m² ile karşılaştırıldığında bölge ortalamasından %74.4 daha pahalıdır.</w:t>
      </w:r>
    </w:p>
    <w:p/>
    <w:p>
      <w:r>
        <w:rPr>
          <w:b/>
        </w:rPr>
        <w:t>Yatırım Değerlendirmesi</w:t>
        <w:br/>
      </w:r>
      <w:r>
        <w:t>Yapılan analizlere göre, bu arsanın yıllık %5.15 potansiyel getiri sunması beklenmektedir. Bu arsa orta seviyede getiri potansiyeli sunmaktadır. Arsa fiyatı bölge ortalamasının oldukça üzerindedir, bu risk oluşturabilir. Bu arsa için tavsiye edilen minimum yatırım süresi 5 yıldır.</w:t>
      </w:r>
    </w:p>
    <w:p/>
    <w:p>
      <w:r>
        <w:rPr>
          <w:b/>
        </w:rPr>
        <w:t>Öneriler ve Tavsiyeler</w:t>
        <w:br/>
      </w:r>
      <w:r>
        <w:t>Bu arsa orta seviyede getiri potansiyeli sunmaktadır. Orta-uzun vadeli bir yatırım olarak değerlendirilebilir. Bölgedeki gelişmelere bağlı olarak getiri oranı değişebilir.</w:t>
      </w:r>
    </w:p>
    <w:sectPr w:rsidR="00FC693F" w:rsidRPr="0006063C" w:rsidSect="00034616">
      <w:pgSz w:w="16834" w:h="1190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