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15">
      <w:pPr>
        <w:pStyle w:val="Title"/>
        <w:rPr>
          <w:sz w:val="22"/>
          <w:szCs w:val="22"/>
          <w:u w:val="none"/>
        </w:rPr>
      </w:pPr>
      <w:r w:rsidDel="00000000" w:rsidR="00000000" w:rsidRPr="00000000">
        <w:rPr>
          <w:sz w:val="40"/>
          <w:szCs w:val="40"/>
          <w:u w:val="none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Évaluation de la proposition d’architecture hybride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8eaad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8eaadb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8eaadb"/>
          <w:sz w:val="24"/>
          <w:szCs w:val="24"/>
          <w:u w:val="none"/>
          <w:shd w:fill="auto" w:val="clear"/>
          <w:vertAlign w:val="baseline"/>
          <w:rtl w:val="0"/>
        </w:rPr>
        <w:t xml:space="preserve"> : 19/12/2025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8eaadb"/>
          <w:sz w:val="24"/>
          <w:szCs w:val="24"/>
          <w:u w:val="none"/>
          <w:shd w:fill="auto" w:val="clear"/>
          <w:vertAlign w:val="baseline"/>
          <w:rtl w:val="0"/>
        </w:rPr>
        <w:t xml:space="preserve">Auteur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8eaadb"/>
          <w:sz w:val="24"/>
          <w:szCs w:val="24"/>
          <w:u w:val="none"/>
          <w:shd w:fill="auto" w:val="clear"/>
          <w:vertAlign w:val="baseline"/>
          <w:rtl w:val="0"/>
        </w:rPr>
        <w:t xml:space="preserve"> : Aymeric Bailleul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8eaadb"/>
          <w:sz w:val="24"/>
          <w:szCs w:val="24"/>
          <w:u w:val="none"/>
          <w:shd w:fill="auto" w:val="clear"/>
          <w:vertAlign w:val="baseline"/>
          <w:rtl w:val="0"/>
        </w:rPr>
        <w:t xml:space="preserve">Contexte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8eaadb"/>
          <w:sz w:val="24"/>
          <w:szCs w:val="24"/>
          <w:u w:val="none"/>
          <w:shd w:fill="auto" w:val="clear"/>
          <w:vertAlign w:val="baseline"/>
          <w:rtl w:val="0"/>
        </w:rPr>
        <w:t xml:space="preserve"> : Modélisation d'une infrastructure hybride cloud/on-premise pour InduTechData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InduTechData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fait face à une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saturation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de son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datacenter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(40 To SQL Server, 10 To SAN)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avec +50 Go/mois de données IoT.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L'architecture hybride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proposée intègre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(S3, Redshift, Redpanda, Managed AD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) pour moderniser l'infrastructure tout en maintenant la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compatibilité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avec le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SI on-premise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Justification des composants cloud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Scalabilité illimitée pour absorber +50 Go/mois, Lifecycle policies vers Glacier (-70% coûts), S3 Sink Connector Redpanda natif, durabilité 99.99%.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Amazon Redshift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Architecture MPP pour requêtes SQL complexes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(résultats en secondes sur 40 To)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synchronisation temps réel via AWS DMS/CDC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(latence &lt; 5 min)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Redshift Spectrum pour requêter S3 directement.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Redpanda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Simplicité opérationnelle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(binaire unique, setup 15 min vs 4h Kafka)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efficacité ressources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(10x moins RAM, 6x moins coût instances)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240+ connecteurs intégrés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(SQL Server, S3, MQTT)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API Kafka 100% compatible.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AWS Managed AD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Trust bidirectionnel avec AD on-premise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(conservation historique 15 ans)</w:t>
      </w:r>
      <w:sdt>
        <w:sdtPr>
          <w:id w:val="3276350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f549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, SSO pour ressources cloud/on-premise, MFA et audit centralisé CloudTrail, mapping automatique groupes AD → IAM Roles.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Sécurité et conformité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Protection des flux de données 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Chiffrement en transit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SSL/TLS 1.3 sur tous les flux (Redpanda TLS+SASL, DMS TLS/JDBC, VPN/Direct Connect IPSec, S3/Redshift HTTPS)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Chiffrement au repos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SSE-KMS sur S3 (rotation clés 90 jours), AES-256 Redshift, EBS volumes chiffrés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Gestion homogène des identités :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Architecture unifiée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: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sdt>
        <w:sdtPr>
          <w:id w:val="-6441278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f549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 Utilisateur → AD On-Premise → Trust LDAPS → AWS Managed AD → IAM → Services AWS</w:t>
          </w:r>
        </w:sdtContent>
      </w:sdt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Forest Trust bidirectionnel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(sync &lt; 5 min utilisateurs/groupes)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GPO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cohérentes cloud/on-premise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MFA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compatible solutions existantes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Audit unifié CloudTrail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centralisé dans CloudWatch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Conformité : 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RGPD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(résidence EU Paris/Francfort)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rétention logs 7 ans, certifications ISO 27001, SOC 2 Type II, HDS.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Interopérabilité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Intégration Redpanda avec SI on-premise 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Connecteur JDBC pour SQL Server (lecture CDC temps réel, enrichissement flux IoT avec données référentielles, écriture bidirectionnelle)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HTTP Proxy API REST pour ERP/CRM legacy (.NET/Java) sans SDK Kafka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Schema Registry pour validation formats (Avro, Protobuf)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Connecteur MQTT pour capteurs IoT sans modification firmware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Automatisation des flux 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sdt>
        <w:sdtPr>
          <w:id w:val="-4392382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f549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Capteurs IoT → Redpanda → Lambda (enrichissement) → S3 + Redshift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Pipelines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: AWS Lambda (serverless transformation), AWS Glue ETL (agrégations batch), Redpanda Connect (routage YAML déclaratif), CloudWatch Alarms (alertes seuils), EventBridge (actions correctives automatiques).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Scalabilité et gestion des coûts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Scalabilité horizontale 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Redpanda : 3 → 5 → 10 nœuds sans downtime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S3 : Scalabilité infinie, performance constante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Redshift : Scaling vertical/horizontal, maintenance &lt; 30 min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Projection 3 ans : +1,8 To IoT, Redpanda 3→5 nœuds, Redshift 2→4 nœuds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Surveillance des coûts 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6.0" w:type="dxa"/>
        <w:jc w:val="left"/>
        <w:tblLayout w:type="fixed"/>
        <w:tblLook w:val="0400"/>
      </w:tblPr>
      <w:tblGrid>
        <w:gridCol w:w="2967"/>
        <w:gridCol w:w="2693"/>
        <w:gridCol w:w="4536"/>
        <w:tblGridChange w:id="0">
          <w:tblGrid>
            <w:gridCol w:w="2967"/>
            <w:gridCol w:w="2693"/>
            <w:gridCol w:w="4536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Outils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Fonctions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4472c4" w:space="0" w:sz="8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Alertes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Cost Explorer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Analyse quotidienne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Budget &gt; 10%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Budgets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Limites par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2f5597"/>
              </w:rPr>
            </w:pPr>
            <w:sdt>
              <w:sdtPr>
                <w:id w:val="-821210082"/>
                <w:tag w:val="goog_rdk_3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S3 &gt; 500€, Redshift &gt; 1000€</w:t>
                </w:r>
              </w:sdtContent>
            </w:sdt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Anomaly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Détection ML pics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+30% sur 24h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Trusted 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Optimisations 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Hebdomadaire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Optimisations :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Reserved Instances (-40-60%), Savings Plans (-30-50%), S3 Intelligent-Tiering.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Estimation des coûts par composant</w:t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Hypothèses de calcul 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Région : Europe (Paris) eu-west-3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Usage : 24/7 pour services critiques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Croissance : +50 Go/mois données IoT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Utilisateurs : 100 collaborateurs AD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(estimation au pifometre)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Coûts initiaux (Setup)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1.0" w:type="dxa"/>
        <w:jc w:val="center"/>
        <w:tblLayout w:type="fixed"/>
        <w:tblLook w:val="0400"/>
      </w:tblPr>
      <w:tblGrid>
        <w:gridCol w:w="2720"/>
        <w:gridCol w:w="4925"/>
        <w:gridCol w:w="2126"/>
        <w:tblGridChange w:id="0">
          <w:tblGrid>
            <w:gridCol w:w="2720"/>
            <w:gridCol w:w="4925"/>
            <w:gridCol w:w="212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Composant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4472c4" w:space="0" w:sz="8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Coût one-time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AWS Direct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Installation connexion dédiée 1 Gbps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id w:val="-1185664976"/>
                <w:tag w:val="goog_rdk_4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500 €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Migration DMS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Transfert initial 40 To SQL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id w:val="-908692996"/>
                <w:tag w:val="goog_rdk_5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0 € (gratuit)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Consulting/Formation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Formation équipes AWS/Redpanda (3 jours)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id w:val="-744193505"/>
                <w:tag w:val="goog_rdk_6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5 000 €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Tests et POC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Environnement de test (2 mois)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right"/>
              <w:rPr>
                <w:color w:val="2f5597"/>
              </w:rPr>
            </w:pPr>
            <w:sdt>
              <w:sdtPr>
                <w:id w:val="492294167"/>
                <w:tag w:val="goog_rdk_7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1 000 €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TOTAL INITIAL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613339373"/>
                <w:tag w:val="goog_rdk_8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6 500 €</w:t>
                </w:r>
              </w:sdtContent>
            </w:sdt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Coûts mensuels récurrents (Mois 1-12)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05.0" w:type="dxa"/>
        <w:jc w:val="left"/>
        <w:tblLayout w:type="fixed"/>
        <w:tblLook w:val="0400"/>
      </w:tblPr>
      <w:tblGrid>
        <w:gridCol w:w="2240"/>
        <w:gridCol w:w="5121"/>
        <w:gridCol w:w="1560"/>
        <w:gridCol w:w="1984"/>
        <w:tblGridChange w:id="0">
          <w:tblGrid>
            <w:gridCol w:w="2240"/>
            <w:gridCol w:w="5121"/>
            <w:gridCol w:w="1560"/>
            <w:gridCol w:w="1984"/>
          </w:tblGrid>
        </w:tblGridChange>
      </w:tblGrid>
      <w:tr>
        <w:trPr>
          <w:cantSplit w:val="0"/>
          <w:trHeight w:val="361" w:hRule="atLeast"/>
          <w:tblHeader w:val="0"/>
        </w:trPr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Service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Configuration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Calcul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4472c4" w:space="0" w:sz="8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Coût mensuel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Amazon 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1 To initial + 50 Go/mois × 12 = 1,6 To moyen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500 Go × 0,024 + 1100 Go × 0,005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-894360584"/>
                <w:tag w:val="goog_rdk_9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17,50 €</w:t>
                </w:r>
              </w:sdtContent>
            </w:sdt>
          </w:p>
        </w:tc>
      </w:tr>
      <w:tr>
        <w:trPr>
          <w:cantSplit w:val="0"/>
          <w:trHeight w:val="24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2f5597"/>
              </w:rPr>
            </w:pPr>
            <w:sdt>
              <w:sdtPr>
                <w:id w:val="-1986406768"/>
                <w:tag w:val="goog_rdk_10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Standard: 0,024 €/Go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2f5597"/>
              </w:rPr>
            </w:pPr>
            <w:sdt>
              <w:sdtPr>
                <w:id w:val="-574143026"/>
                <w:tag w:val="goog_rdk_11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Glacier (70% des données): 0,005 €/Go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Redshift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Cluster 2 nœuds dc2.large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2 × 0,34 × 730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-2109357445"/>
                <w:tag w:val="goog_rdk_12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496,40 €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1 To stockage</w:t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2f5597"/>
              </w:rPr>
            </w:pPr>
            <w:sdt>
              <w:sdtPr>
                <w:id w:val="-958636057"/>
                <w:tag w:val="goog_rdk_13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0,34 €/heure × 2 × 730h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Redpanda (EC2)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3 × c5.2xlarge (8 vCPU, 16 GB RAM)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3 × 0,395 × 730 + 3 × 40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1689963239"/>
                <w:tag w:val="goog_rdk_14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985,35 €</w:t>
                </w:r>
              </w:sdtContent>
            </w:sdt>
          </w:p>
        </w:tc>
      </w:tr>
      <w:tr>
        <w:trPr>
          <w:cantSplit w:val="0"/>
          <w:trHeight w:val="17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3 × EBS gp3 500 Go</w:t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2f5597"/>
              </w:rPr>
            </w:pPr>
            <w:sdt>
              <w:sdtPr>
                <w:id w:val="-1218365174"/>
                <w:tag w:val="goog_rdk_15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0,395 €/h × 3 × 730h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AWS Managed 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Edition Standard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Forfait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-669117960"/>
                <w:tag w:val="goog_rdk_16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95,00 €</w:t>
                </w:r>
              </w:sdtContent>
            </w:sdt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100 utilisateurs</w:t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AWS DMS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Instance dms.c5.large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0,221 × 730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-2027268627"/>
                <w:tag w:val="goog_rdk_17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161,33 €</w:t>
                </w:r>
              </w:sdtContent>
            </w:sdt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2f5597"/>
              </w:rPr>
            </w:pPr>
            <w:sdt>
              <w:sdtPr>
                <w:id w:val="1578675488"/>
                <w:tag w:val="goog_rdk_18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0,221 €/h × 730h</w:t>
                </w:r>
              </w:sdtContent>
            </w:sdt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Direct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Port dédié 1 Gbps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2f5597"/>
              </w:rPr>
            </w:pPr>
            <w:sdt>
              <w:sdtPr>
                <w:id w:val="-1028989306"/>
                <w:tag w:val="goog_rdk_19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284 € (port) + 9 € (transfert)</w:t>
                </w:r>
              </w:sdtContent>
            </w:sdt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-1585059700"/>
                <w:tag w:val="goog_rdk_20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293,00 €</w:t>
                </w:r>
              </w:sdtContent>
            </w:sdt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Transfert sortant 100 Go/mois</w:t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CloudWatch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50 Go logs/mois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2f5597"/>
              </w:rPr>
            </w:pPr>
            <w:sdt>
              <w:sdtPr>
                <w:id w:val="-1769831948"/>
                <w:tag w:val="goog_rdk_21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0,76 €/Go × 50 + 3,50 €</w:t>
                </w:r>
              </w:sdtContent>
            </w:sdt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33232169"/>
                <w:tag w:val="goog_rdk_22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41,50 €</w:t>
                </w:r>
              </w:sdtContent>
            </w:sdt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100 métriques custom</w:t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AWS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Snapshots Redshift (1 To)</w:t>
            </w:r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color w:val="2f5597"/>
              </w:rPr>
            </w:pPr>
            <w:sdt>
              <w:sdtPr>
                <w:id w:val="667600477"/>
                <w:tag w:val="goog_rdk_23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0,055 €/Go × 2500</w:t>
                </w:r>
              </w:sdtContent>
            </w:sdt>
          </w:p>
        </w:tc>
        <w:tc>
          <w:tcPr>
            <w:vMerge w:val="restart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-332629488"/>
                <w:tag w:val="goog_rdk_24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137,50 €</w:t>
                </w:r>
              </w:sdtContent>
            </w:sdt>
          </w:p>
        </w:tc>
      </w:tr>
      <w:tr>
        <w:trPr>
          <w:cantSplit w:val="0"/>
          <w:trHeight w:val="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Snapshots EBS (1,5 To)</w:t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f559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Support AWS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2f5597"/>
              </w:rPr>
            </w:pPr>
            <w:r w:rsidDel="00000000" w:rsidR="00000000" w:rsidRPr="00000000">
              <w:rPr>
                <w:color w:val="2f5597"/>
                <w:rtl w:val="0"/>
              </w:rPr>
              <w:t xml:space="preserve">Business Support (10% facture)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color w:val="2f5597"/>
              </w:rPr>
            </w:pPr>
            <w:sdt>
              <w:sdtPr>
                <w:id w:val="241401631"/>
                <w:tag w:val="goog_rdk_25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~10% de 2100 €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1398291096"/>
                <w:tag w:val="goog_rdk_26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210,00 €</w:t>
                </w:r>
              </w:sdtContent>
            </w:sdt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TOTAL MENSUEL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b w:val="1"/>
                <w:bCs w:val="1"/>
                <w:color w:val="2f5597"/>
              </w:rPr>
            </w:pPr>
            <w:sdt>
              <w:sdtPr>
                <w:id w:val="-1908058360"/>
                <w:tag w:val="goog_rdk_27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2 437,58 €</w:t>
                </w:r>
              </w:sdtContent>
            </w:sdt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Projection annuelle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center"/>
        <w:tblLayout w:type="fixed"/>
        <w:tblLook w:val="0400"/>
      </w:tblPr>
      <w:tblGrid>
        <w:gridCol w:w="1480"/>
        <w:gridCol w:w="3100"/>
        <w:gridCol w:w="5680"/>
        <w:tblGridChange w:id="0">
          <w:tblGrid>
            <w:gridCol w:w="1480"/>
            <w:gridCol w:w="3100"/>
            <w:gridCol w:w="5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4472c4" w:space="0" w:sz="8" w:val="single"/>
              <w:left w:color="4472c4" w:space="0" w:sz="8" w:val="single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Période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000000" w:space="0" w:sz="0" w:val="nil"/>
            </w:tcBorders>
            <w:shd w:fill="4472c4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Coût mensuel</w:t>
            </w:r>
          </w:p>
        </w:tc>
        <w:tc>
          <w:tcPr>
            <w:tcBorders>
              <w:top w:color="4472c4" w:space="0" w:sz="8" w:val="single"/>
              <w:left w:color="000000" w:space="0" w:sz="0" w:val="nil"/>
              <w:bottom w:color="4472c4" w:space="0" w:sz="8" w:val="single"/>
              <w:right w:color="4472c4" w:space="0" w:sz="8" w:val="single"/>
            </w:tcBorders>
            <w:shd w:fill="4472c4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Coût annuel cumulé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Année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color w:val="2f5597"/>
              </w:rPr>
            </w:pPr>
            <w:sdt>
              <w:sdtPr>
                <w:id w:val="2031698934"/>
                <w:tag w:val="goog_rdk_28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2 437,58 €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sdt>
              <w:sdtPr>
                <w:id w:val="-2116245162"/>
                <w:tag w:val="goog_rdk_29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29 251 € + 6 500 € setup = 35 751 €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Année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color w:val="2f5597"/>
              </w:rPr>
            </w:pPr>
            <w:sdt>
              <w:sdtPr>
                <w:id w:val="-594437321"/>
                <w:tag w:val="goog_rdk_30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2 680 € (croissance +10%)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sdt>
              <w:sdtPr>
                <w:id w:val="-924969251"/>
                <w:tag w:val="goog_rdk_31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32 160 € </w:t>
                </w:r>
              </w:sdtContent>
            </w:sdt>
            <w:sdt>
              <w:sdtPr>
                <w:id w:val="-117663256"/>
                <w:tag w:val="goog_rdk_32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i w:val="1"/>
                    <w:iCs w:val="1"/>
                    <w:color w:val="2f5597"/>
                    <w:rtl w:val="0"/>
                  </w:rPr>
                  <w:t xml:space="preserve">(+ optimisations : -25% = 24 120 €)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eaadb" w:space="0" w:sz="8" w:val="single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r w:rsidDel="00000000" w:rsidR="00000000" w:rsidRPr="00000000">
              <w:rPr>
                <w:b w:val="1"/>
                <w:bCs w:val="1"/>
                <w:color w:val="2f5597"/>
                <w:rtl w:val="0"/>
              </w:rPr>
              <w:t xml:space="preserve">Année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2f5597"/>
              </w:rPr>
            </w:pPr>
            <w:sdt>
              <w:sdtPr>
                <w:id w:val="1344901203"/>
                <w:tag w:val="goog_rdk_33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color w:val="2f5597"/>
                    <w:rtl w:val="0"/>
                  </w:rPr>
                  <w:t xml:space="preserve">2 950 € (croissance +10%)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8eaadb" w:space="0" w:sz="8" w:val="single"/>
              <w:right w:color="8eaadb" w:space="0" w:sz="8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b w:val="1"/>
                <w:bCs w:val="1"/>
                <w:color w:val="2f5597"/>
              </w:rPr>
            </w:pPr>
            <w:sdt>
              <w:sdtPr>
                <w:id w:val="-1817251507"/>
                <w:tag w:val="goog_rdk_34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color w:val="2f5597"/>
                    <w:rtl w:val="0"/>
                  </w:rPr>
                  <w:t xml:space="preserve">35 400 € </w:t>
                </w:r>
              </w:sdtContent>
            </w:sdt>
            <w:sdt>
              <w:sdtPr>
                <w:id w:val="795330381"/>
                <w:tag w:val="goog_rdk_35"/>
              </w:sdtPr>
              <w:sdtContent>
                <w:r w:rsidDel="00000000" w:rsidR="00000000" w:rsidRPr="00000000">
                  <w:rPr>
                    <w:rFonts w:ascii="PT Sans" w:cs="PT Sans" w:eastAsia="PT Sans" w:hAnsi="PT Sans"/>
                    <w:b w:val="1"/>
                    <w:bCs w:val="1"/>
                    <w:i w:val="1"/>
                    <w:iCs w:val="1"/>
                    <w:color w:val="2f5597"/>
                    <w:rtl w:val="0"/>
                  </w:rPr>
                  <w:t xml:space="preserve">(+ optimisations : -25% = 26 550 €)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Coût total sur 3 ans : </w:t>
      </w:r>
      <w:sdt>
        <w:sdtPr>
          <w:id w:val="-208435499"/>
          <w:tag w:val="goog_rdk_36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2f5496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86 421 €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(avec optimisations Reserved Instances/Savings Plans)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Comparaison on-premise vs Cloud 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sdt>
        <w:sdtPr>
          <w:id w:val="-480691645"/>
          <w:tag w:val="goog_rdk_37"/>
        </w:sdtPr>
        <w:sdtContent>
          <w:r w:rsidDel="00000000" w:rsidR="00000000" w:rsidRPr="00000000">
            <w:rPr>
              <w:rFonts w:ascii="PT Sans" w:cs="PT Sans" w:eastAsia="PT Sans" w:hAnsi="PT Sans"/>
              <w:b w:val="0"/>
              <w:bCs w:val="0"/>
              <w:i w:val="0"/>
              <w:iCs w:val="0"/>
              <w:smallCaps w:val="0"/>
              <w:strike w:val="0"/>
              <w:color w:val="2f549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Extension datacenter on-premise : 286 000 € sur 3 ans</w:t>
          </w:r>
        </w:sdtContent>
      </w:sdt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sdt>
        <w:sdtPr>
          <w:id w:val="93420491"/>
          <w:tag w:val="goog_rdk_38"/>
        </w:sdtPr>
        <w:sdtContent>
          <w:r w:rsidDel="00000000" w:rsidR="00000000" w:rsidRPr="00000000">
            <w:rPr>
              <w:rFonts w:ascii="PT Sans" w:cs="PT Sans" w:eastAsia="PT Sans" w:hAnsi="PT Sans"/>
              <w:b w:val="0"/>
              <w:bCs w:val="0"/>
              <w:i w:val="0"/>
              <w:iCs w:val="0"/>
              <w:smallCaps w:val="0"/>
              <w:strike w:val="0"/>
              <w:color w:val="2f549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Solution cloud proposée : 86 421 € sur 3 ans</w:t>
          </w:r>
        </w:sdtContent>
      </w:sdt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sdt>
        <w:sdtPr>
          <w:id w:val="-947040289"/>
          <w:tag w:val="goog_rdk_39"/>
        </w:sdtPr>
        <w:sdtContent>
          <w:r w:rsidDel="00000000" w:rsidR="00000000" w:rsidRPr="00000000">
            <w:rPr>
              <w:rFonts w:ascii="PT Sans" w:cs="PT Sans" w:eastAsia="PT Sans" w:hAnsi="PT Sans"/>
              <w:b w:val="1"/>
              <w:bCs w:val="1"/>
              <w:i w:val="0"/>
              <w:iCs w:val="0"/>
              <w:smallCaps w:val="0"/>
              <w:strike w:val="0"/>
              <w:color w:val="2f549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Économie : 199 579 € (70%)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Avantages, limitations et points d'attention</w:t>
      </w:r>
    </w:p>
    <w:p w:rsidR="00000000" w:rsidDel="00000000" w:rsidP="00000000" w:rsidRDefault="00000000" w:rsidRPr="00000000" w14:paraId="00000128">
      <w:pPr>
        <w:pStyle w:val="Heading3"/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Techniques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Élimination risque saturation, latence &lt; 100ms IoT, SLA 99,9% AWS, DR automatisé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Opérationnels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Services managés libèrent 40% temps IT, déploiement projets en jours vs mois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 : ROI 8 mois, économie 70% vs on-premise, accès ML/AI (SageMaker)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Limitations 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Latence réseau +5-15ms (VPN/Direct Connect)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Dépendance Internet (mitigation : lien redondant)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Vendor lock-in partiel Redshift/DMS (Redpanda et S3 réduisent risque)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  <w:t xml:space="preserve">Risques 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Courbe d'apprentissage AWS/Redpanda (mitigation : formation 3 jours)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Coûts imprévisibles (mitigation : Budgets + Anomaly Detection)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Migration 40 To prend 48-72h (planifier fenêtre maintenance)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Surface d'attaque élargie (Security Groups, NACLs, WAF requis)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Gestion clés KMS critique (backup clés, multi-region)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L'architecture hybride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proposée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répond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efficacement à la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saturation datacenter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d'InduTechData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(+50 Go/mois IoT)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. Les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services AWS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(S3, Redshift, Managed AD)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avec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Redpanda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garantissent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sécurité renforcée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(chiffrement SSL/TLS, AD unifié, RGPD)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interopérabilité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complète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(connecteurs natifs SQL Server/ERP/CRM)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scalabilité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future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1"/>
          <w:iCs w:val="1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(projection 3 ans validée)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optimisation des coûts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id w:val="1262025232"/>
          <w:tag w:val="goog_rdk_40"/>
        </w:sdtPr>
        <w:sdtContent>
          <w:r w:rsidDel="00000000" w:rsidR="00000000" w:rsidRPr="00000000">
            <w:rPr>
              <w:rFonts w:ascii="PT Sans" w:cs="PT Sans" w:eastAsia="PT Sans" w:hAnsi="PT Sans"/>
              <w:b w:val="0"/>
              <w:bCs w:val="0"/>
              <w:i w:val="1"/>
              <w:iCs w:val="1"/>
              <w:smallCaps w:val="0"/>
              <w:strike w:val="0"/>
              <w:color w:val="2f549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(70% économie : 86 K€ vs 286 K€ sur 3 ans)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T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Quattrocento Sans" w:cs="Quattrocento Sans" w:eastAsia="Quattrocento Sans" w:hAnsi="Quattrocento San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5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567" w:right="0" w:hanging="567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f3864"/>
      <w:sz w:val="40"/>
      <w:szCs w:val="40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851" w:right="0" w:hanging="851"/>
      <w:jc w:val="left"/>
    </w:pPr>
    <w:rPr>
      <w:rFonts w:ascii="Quattrocento Sans" w:cs="Quattrocento Sans" w:eastAsia="Quattrocento Sans" w:hAnsi="Quattrocento Sans"/>
      <w:b w:val="0"/>
      <w:bCs w:val="0"/>
      <w:i w:val="0"/>
      <w:iCs w:val="0"/>
      <w:smallCaps w:val="0"/>
      <w:strike w:val="0"/>
      <w:color w:val="2f5496"/>
      <w:sz w:val="36"/>
      <w:szCs w:val="36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0"/>
      <w:bCs w:val="0"/>
      <w:i w:val="1"/>
      <w:iCs w:val="1"/>
      <w:smallCaps w:val="0"/>
      <w:strike w:val="0"/>
      <w:color w:val="2f5496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1"/>
      <w:iCs w:val="1"/>
      <w:smallCaps w:val="0"/>
      <w:strike w:val="0"/>
      <w:color w:val="2f549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f3864"/>
      <w:sz w:val="60"/>
      <w:szCs w:val="60"/>
      <w:u w:val="single"/>
      <w:shd w:fill="auto" w:val="clear"/>
      <w:vertAlign w:val="baseline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423D0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423D0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423D0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423D0A"/>
    <w:rPr>
      <w:rFonts w:ascii="Segoe UI" w:cs="Segoe UI" w:hAnsi="Segoe UI"/>
      <w:b w:val="1"/>
      <w:bCs w:val="1"/>
      <w:color w:val="1f3864" w:themeColor="accent1" w:themeShade="000080"/>
      <w:sz w:val="40"/>
      <w:szCs w:val="40"/>
      <w:u w:val="single"/>
    </w:rPr>
  </w:style>
  <w:style w:type="character" w:styleId="Titre2Car" w:customStyle="1">
    <w:name w:val="Titre 2 Car"/>
    <w:basedOn w:val="Policepardfaut"/>
    <w:link w:val="Titre2"/>
    <w:uiPriority w:val="9"/>
    <w:rsid w:val="00FA6CF2"/>
    <w:rPr>
      <w:rFonts w:ascii="Segoe UI" w:cs="Segoe UI" w:hAnsi="Segoe UI"/>
      <w:color w:val="2f5496" w:themeColor="accent1" w:themeShade="0000BF"/>
      <w:sz w:val="36"/>
      <w:szCs w:val="36"/>
      <w:u w:val="single"/>
    </w:rPr>
  </w:style>
  <w:style w:type="character" w:styleId="Titre3Car" w:customStyle="1">
    <w:name w:val="Titre 3 Car"/>
    <w:basedOn w:val="Policepardfaut"/>
    <w:link w:val="Titre3"/>
    <w:uiPriority w:val="9"/>
    <w:rsid w:val="001C722B"/>
    <w:rPr>
      <w:rFonts w:ascii="Segoe UI" w:cs="Segoe UI" w:hAnsi="Segoe UI"/>
      <w:i w:val="1"/>
      <w:iCs w:val="1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rsid w:val="00A44E2F"/>
    <w:rPr>
      <w:rFonts w:ascii="Segoe UI" w:cs="Segoe UI" w:hAnsi="Segoe UI"/>
      <w:b w:val="1"/>
      <w:bCs w:val="1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423D0A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423D0A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423D0A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423D0A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423D0A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423D0A"/>
    <w:rPr>
      <w:rFonts w:ascii="Segoe UI" w:cs="Segoe UI" w:hAnsi="Segoe UI"/>
      <w:b w:val="1"/>
      <w:bCs w:val="1"/>
      <w:color w:val="1f3864" w:themeColor="accent1" w:themeShade="000080"/>
      <w:sz w:val="60"/>
      <w:szCs w:val="60"/>
      <w:u w:val="single"/>
    </w:rPr>
  </w:style>
  <w:style w:type="character" w:styleId="Sous-titreCar" w:customStyle="1">
    <w:name w:val="Sous-titre Car"/>
    <w:basedOn w:val="Policepardfaut"/>
    <w:link w:val="Sous-titre"/>
    <w:uiPriority w:val="11"/>
    <w:rsid w:val="00423D0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423D0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423D0A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423D0A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423D0A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423D0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423D0A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423D0A"/>
    <w:rPr>
      <w:b w:val="1"/>
      <w:bCs w:val="1"/>
      <w:smallCaps w:val="1"/>
      <w:color w:val="2f5496" w:themeColor="accent1" w:themeShade="0000BF"/>
      <w:spacing w:val="5"/>
    </w:rPr>
  </w:style>
  <w:style w:type="paragraph" w:styleId="Sansinterligne">
    <w:name w:val="No Spacing"/>
    <w:uiPriority w:val="1"/>
    <w:qFormat w:val="1"/>
    <w:rsid w:val="00423D0A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FA6CF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auGrille4-Accentuation5">
    <w:name w:val="Grid Table 4 Accent 5"/>
    <w:basedOn w:val="TableauNormal"/>
    <w:uiPriority w:val="49"/>
    <w:rsid w:val="001C722B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5" w:themeTint="000099" w:val="single"/>
        <w:left w:color="9cc2e5" w:space="0" w:sz="4" w:themeColor="accent5" w:themeTint="000099" w:val="single"/>
        <w:bottom w:color="9cc2e5" w:space="0" w:sz="4" w:themeColor="accent5" w:themeTint="000099" w:val="single"/>
        <w:right w:color="9cc2e5" w:space="0" w:sz="4" w:themeColor="accent5" w:themeTint="000099" w:val="single"/>
        <w:insideH w:color="9cc2e5" w:space="0" w:sz="4" w:themeColor="accent5" w:themeTint="000099" w:val="single"/>
        <w:insideV w:color="9cc2e5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5" w:val="single"/>
          <w:left w:color="5b9bd5" w:space="0" w:sz="4" w:themeColor="accent5" w:val="single"/>
          <w:bottom w:color="5b9bd5" w:space="0" w:sz="4" w:themeColor="accent5" w:val="single"/>
          <w:right w:color="5b9bd5" w:space="0" w:sz="4" w:themeColor="accent5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5" w:themeFillTint="000033" w:val="clear"/>
      </w:tcPr>
    </w:tblStylePr>
    <w:tblStylePr w:type="band1Horz">
      <w:tblPr/>
      <w:tcPr>
        <w:shd w:color="auto" w:fill="deeaf6" w:themeFill="accent5" w:themeFillTint="000033" w:val="clear"/>
      </w:tcPr>
    </w:tblStylePr>
  </w:style>
  <w:style w:type="table" w:styleId="TableauGrille4-Accentuation1">
    <w:name w:val="Grid Table 4 Accent 1"/>
    <w:basedOn w:val="TableauNormal"/>
    <w:uiPriority w:val="49"/>
    <w:rsid w:val="001C722B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PTSans-boldItalic.ttf"/><Relationship Id="rId9" Type="http://schemas.openxmlformats.org/officeDocument/2006/relationships/font" Target="fonts/PT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TSans-regular.ttf"/><Relationship Id="rId8" Type="http://schemas.openxmlformats.org/officeDocument/2006/relationships/font" Target="fonts/PTSan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eVZTHkq1MXI8YmixJJWECU0E2w==">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2026-01-06T10:01:00Z</dcterms:created>
  <dc:creator>Aymeric Bailleul</dc:creator>
</cp:coreProperties>
</file>