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Disease Classification MLOps Experimental Learning Report</w:t>
      </w:r>
    </w:p>
    <w:p>
      <w:r>
        <w:t>This report covers model tests, experiment records, the API, and local Kubernetes deployment.</w:t>
      </w:r>
    </w:p>
    <w:p>
      <w:r>
        <w:t>Prepared for the MLOps experimental learning assignment</w:t>
      </w:r>
    </w:p>
    <w:p>
      <w:r>
        <w:t>Dataset: UCI processed Cleveland Heart Disease records</w:t>
      </w:r>
    </w:p>
    <w:p>
      <w:pPr>
        <w:pStyle w:val="Heading1"/>
      </w:pPr>
      <w:r>
        <w:t>Project summary</w:t>
      </w:r>
    </w:p>
    <w:p>
      <w:r>
        <w:t>This project classifies the UCI processed Cleveland heart disease records. It downloads and cleans the data, compares two models, and records the results in MLflow. FastAPI serves the selected model. Docker Desktop Kubernetes runs the API on the Windows laptop. The report includes screenshots from that run.</w:t>
      </w:r>
    </w:p>
    <w:tbl>
      <w:tblPr>
        <w:tblStyle w:val="TableGrid"/>
        <w:tblW w:type="auto" w:w="0"/>
        <w:jc w:val="center"/>
        <w:tblLook w:firstColumn="1" w:firstRow="1" w:lastColumn="0" w:lastRow="0" w:noHBand="0" w:noVBand="1" w:val="04A0"/>
      </w:tblPr>
      <w:tblGrid>
        <w:gridCol w:w="4939"/>
        <w:gridCol w:w="4939"/>
      </w:tblGrid>
      <w:tr>
        <w:tc>
          <w:tcPr>
            <w:tcW w:type="dxa" w:w="4939"/>
            <w:shd w:fill="263746"/>
          </w:tcPr>
          <w:p>
            <w:r>
              <w:rPr>
                <w:b/>
                <w:color w:val="FFFFFF"/>
              </w:rPr>
              <w:t>Measure</w:t>
            </w:r>
          </w:p>
        </w:tc>
        <w:tc>
          <w:tcPr>
            <w:tcW w:type="dxa" w:w="4939"/>
            <w:shd w:fill="263746"/>
          </w:tcPr>
          <w:p>
            <w:r>
              <w:rPr>
                <w:b/>
                <w:color w:val="FFFFFF"/>
              </w:rPr>
              <w:t>Windows run result</w:t>
            </w:r>
          </w:p>
        </w:tc>
      </w:tr>
      <w:tr>
        <w:tc>
          <w:tcPr>
            <w:tcW w:type="dxa" w:w="4939"/>
          </w:tcPr>
          <w:p>
            <w:r>
              <w:t>Clean records</w:t>
            </w:r>
          </w:p>
        </w:tc>
        <w:tc>
          <w:tcPr>
            <w:tcW w:type="dxa" w:w="4939"/>
          </w:tcPr>
          <w:p>
            <w:r>
              <w:t>297</w:t>
            </w:r>
          </w:p>
        </w:tc>
      </w:tr>
      <w:tr>
        <w:tc>
          <w:tcPr>
            <w:tcW w:type="dxa" w:w="4939"/>
          </w:tcPr>
          <w:p>
            <w:r>
              <w:t>Selected model</w:t>
            </w:r>
          </w:p>
        </w:tc>
        <w:tc>
          <w:tcPr>
            <w:tcW w:type="dxa" w:w="4939"/>
          </w:tcPr>
          <w:p>
            <w:r>
              <w:t>Random Forest</w:t>
            </w:r>
          </w:p>
        </w:tc>
      </w:tr>
      <w:tr>
        <w:tc>
          <w:tcPr>
            <w:tcW w:type="dxa" w:w="4939"/>
          </w:tcPr>
          <w:p>
            <w:r>
              <w:t>Held out test accuracy</w:t>
            </w:r>
          </w:p>
        </w:tc>
        <w:tc>
          <w:tcPr>
            <w:tcW w:type="dxa" w:w="4939"/>
          </w:tcPr>
          <w:p>
            <w:r>
              <w:t>0.817</w:t>
            </w:r>
          </w:p>
        </w:tc>
      </w:tr>
      <w:tr>
        <w:tc>
          <w:tcPr>
            <w:tcW w:type="dxa" w:w="4939"/>
          </w:tcPr>
          <w:p>
            <w:r>
              <w:t>Held out test ROC-AUC</w:t>
            </w:r>
          </w:p>
        </w:tc>
        <w:tc>
          <w:tcPr>
            <w:tcW w:type="dxa" w:w="4939"/>
          </w:tcPr>
          <w:p>
            <w:r>
              <w:t>0.944</w:t>
            </w:r>
          </w:p>
        </w:tc>
      </w:tr>
    </w:tbl>
    <w:p/>
    <w:p>
      <w:r>
        <w:t>The Windows run used Python 3.12.3.</w:t>
      </w:r>
    </w:p>
    <w:p>
      <w:pPr>
        <w:pStyle w:val="Heading1"/>
      </w:pPr>
      <w:r>
        <w:t>Deliverables and file locations</w:t>
      </w:r>
    </w:p>
    <w:p>
      <w:pPr>
        <w:spacing w:after="20"/>
        <w:ind w:left="317" w:hanging="317"/>
      </w:pPr>
      <w:r>
        <w:rPr>
          <w:b/>
        </w:rPr>
        <w:t xml:space="preserve">1. Code, Dockerfile, dependencies: </w:t>
      </w:r>
      <w:r>
        <w:t>heart_mlops/ contains the code. Dockerfile builds the API image. requirements.txt and requirements-api.txt list the packages.</w:t>
      </w:r>
    </w:p>
    <w:p>
      <w:pPr>
        <w:spacing w:after="20"/>
        <w:ind w:left="317" w:hanging="317"/>
      </w:pPr>
      <w:r>
        <w:rPr>
          <w:b/>
        </w:rPr>
        <w:t xml:space="preserve">2. Cleaned data and download instructions: </w:t>
      </w:r>
      <w:r>
        <w:t>data/processed/ has the clean CSV and data_summary.json. heart_mlops/data.py downloads and cleans the UCI file. RUNBOOK.md gives the command.</w:t>
      </w:r>
    </w:p>
    <w:p>
      <w:pPr>
        <w:spacing w:after="20"/>
        <w:ind w:left="317" w:hanging="317"/>
      </w:pPr>
      <w:r>
        <w:rPr>
          <w:b/>
        </w:rPr>
        <w:t xml:space="preserve">3. EDA, training, inference: </w:t>
      </w:r>
      <w:r>
        <w:t>heart_mlops/ has eda.py, train.py, predict.py, and api.py. reports/figures/ has the plots. artifacts/model.joblib has the fitted model.</w:t>
      </w:r>
    </w:p>
    <w:p>
      <w:pPr>
        <w:spacing w:after="20"/>
        <w:ind w:left="317" w:hanging="317"/>
      </w:pPr>
      <w:r>
        <w:rPr>
          <w:b/>
        </w:rPr>
        <w:t xml:space="preserve">4. Unit tests: </w:t>
      </w:r>
      <w:r>
        <w:t>tests/ has test_data.py, test_model.py, and test_api.py. These tests cover the data, model, and API.</w:t>
      </w:r>
    </w:p>
    <w:p>
      <w:pPr>
        <w:spacing w:after="20"/>
        <w:ind w:left="317" w:hanging="317"/>
      </w:pPr>
      <w:r>
        <w:rPr>
          <w:b/>
        </w:rPr>
        <w:t xml:space="preserve">5. GitHub Actions workflow: </w:t>
      </w:r>
      <w:r>
        <w:t>.github/workflows/ci.yml runs Ruff, Pytest, data preparation, EDA, model training, and a Docker build. It uploads the run files.</w:t>
      </w:r>
    </w:p>
    <w:p>
      <w:pPr>
        <w:spacing w:after="20"/>
        <w:ind w:left="317" w:hanging="317"/>
      </w:pPr>
      <w:r>
        <w:rPr>
          <w:b/>
        </w:rPr>
        <w:t xml:space="preserve">6. Deployment manifests: </w:t>
      </w:r>
      <w:r>
        <w:t>k8s/deployment.yaml starts the API pod. k8s/service.yaml gives it a local LoadBalancer Service on port 8000.</w:t>
      </w:r>
    </w:p>
    <w:p>
      <w:pPr>
        <w:spacing w:after="20"/>
        <w:ind w:left="317" w:hanging="317"/>
      </w:pPr>
      <w:r>
        <w:rPr>
          <w:b/>
        </w:rPr>
        <w:t xml:space="preserve">7. Screenshot folder: </w:t>
      </w:r>
      <w:r>
        <w:t>screenshots/ has the ten main Windows screenshots and extra MLflow views. screenshots/README.md lists the main images.</w:t>
      </w:r>
    </w:p>
    <w:p>
      <w:pPr>
        <w:spacing w:after="20"/>
        <w:ind w:left="317" w:hanging="317"/>
      </w:pPr>
      <w:r>
        <w:rPr>
          <w:b/>
        </w:rPr>
        <w:t xml:space="preserve">8. Final written report: </w:t>
      </w:r>
      <w:r>
        <w:t>reports/Final_Report.docx is this ten-page report. It includes the results, system diagram, and run screenshots.</w:t>
      </w:r>
    </w:p>
    <w:p>
      <w:pPr>
        <w:spacing w:after="20"/>
        <w:ind w:left="317" w:hanging="317"/>
      </w:pPr>
      <w:r>
        <w:rPr>
          <w:b/>
        </w:rPr>
        <w:t xml:space="preserve">9. Local API access instructions: </w:t>
      </w:r>
      <w:r>
        <w:t>README.md and RUNBOOK.md give the localhost:8000 URLs and test commands. The API has no public URL.</w:t>
      </w:r>
    </w:p>
    <w:p>
      <w:r>
        <w:br w:type="page"/>
      </w:r>
    </w:p>
    <w:p>
      <w:pPr>
        <w:pStyle w:val="Heading1"/>
      </w:pPr>
      <w:r>
        <w:t>1 Objective and system architecture</w:t>
      </w:r>
    </w:p>
    <w:p>
      <w:r>
        <w:t>This task has two classes. Target 0 means no disease. Source targets 1 through 4 mean disease is present. The API takes 13 input values. It returns a class and a model probability.</w:t>
      </w:r>
    </w:p>
    <w:p>
      <w:pPr>
        <w:jc w:val="center"/>
      </w:pPr>
      <w:r>
        <w:drawing>
          <wp:inline xmlns:a="http://schemas.openxmlformats.org/drawingml/2006/main" xmlns:pic="http://schemas.openxmlformats.org/drawingml/2006/picture">
            <wp:extent cx="6035040" cy="219049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2190496"/>
                    </a:xfrm>
                    <a:prstGeom prst="rect"/>
                  </pic:spPr>
                </pic:pic>
              </a:graphicData>
            </a:graphic>
          </wp:inline>
        </w:drawing>
      </w:r>
    </w:p>
    <w:p>
      <w:pPr>
        <w:pStyle w:val="Caption"/>
        <w:jc w:val="center"/>
      </w:pPr>
      <w:r>
        <w:t>Figure 1  Assignment system architecture</w:t>
      </w:r>
    </w:p>
    <w:p>
      <w:r>
        <w:t>The training script fits preprocessing and the classifier in one pipeline. MLflow stores the run results. The Docker image contains the selected pipeline. Docker Desktop Kubernetes runs one API pod. The service reports request counts and writes request logs.</w:t>
      </w:r>
    </w:p>
    <w:p>
      <w:pPr>
        <w:pStyle w:val="Heading2"/>
      </w:pPr>
      <w:r>
        <w:t>Setup and local API access</w:t>
      </w:r>
    </w:p>
    <w:p>
      <w:r>
        <w:t>The final run used Ubuntu 24.04 in WSL 2, Python 3.12.3, and Docker Desktop. From the repository root, run these commands in Ubuntu:</w:t>
      </w:r>
    </w:p>
    <w:p>
      <w:pPr>
        <w:spacing w:after="140"/>
        <w:ind w:left="259"/>
      </w:pPr>
      <w:r>
        <w:rPr>
          <w:rFonts w:ascii="Courier New" w:hAnsi="Courier New"/>
          <w:sz w:val="17"/>
        </w:rPr>
        <w:t>python3 -m venv ~/.venvs/heart-disease-mlops</w:t>
        <w:br/>
      </w:r>
      <w:r>
        <w:rPr>
          <w:rFonts w:ascii="Courier New" w:hAnsi="Courier New"/>
          <w:sz w:val="17"/>
        </w:rPr>
        <w:t>source ~/.venvs/heart-disease-mlops/bin/activate</w:t>
        <w:br/>
      </w:r>
      <w:r>
        <w:rPr>
          <w:rFonts w:ascii="Courier New" w:hAnsi="Courier New"/>
          <w:sz w:val="17"/>
        </w:rPr>
        <w:t>python -m pip install -r requirements.txt</w:t>
        <w:br/>
      </w:r>
      <w:r>
        <w:rPr>
          <w:rFonts w:ascii="Courier New" w:hAnsi="Courier New"/>
          <w:sz w:val="17"/>
        </w:rPr>
        <w:t>python -m heart_mlops.data</w:t>
        <w:br/>
      </w:r>
      <w:r>
        <w:rPr>
          <w:rFonts w:ascii="Courier New" w:hAnsi="Courier New"/>
          <w:sz w:val="17"/>
        </w:rPr>
        <w:t>python -m heart_mlops.eda</w:t>
        <w:br/>
      </w:r>
      <w:r>
        <w:rPr>
          <w:rFonts w:ascii="Courier New" w:hAnsi="Courier New"/>
          <w:sz w:val="17"/>
        </w:rPr>
        <w:t>ruff check .</w:t>
        <w:br/>
      </w:r>
      <w:r>
        <w:rPr>
          <w:rFonts w:ascii="Courier New" w:hAnsi="Courier New"/>
          <w:sz w:val="17"/>
        </w:rPr>
        <w:t>python -m pytest -q</w:t>
        <w:br/>
      </w:r>
      <w:r>
        <w:rPr>
          <w:rFonts w:ascii="Courier New" w:hAnsi="Courier New"/>
          <w:sz w:val="17"/>
        </w:rPr>
        <w:t>python -m heart_mlops.train</w:t>
      </w:r>
    </w:p>
    <w:p>
      <w:r>
        <w:t>Build the API image in WSL. Then apply the two Kubernetes files from Windows PowerShell. RUNBOOK.md gives the commands and identifies the shell for each step.</w:t>
      </w:r>
    </w:p>
    <w:p>
      <w:pPr>
        <w:spacing w:after="140"/>
        <w:ind w:left="259"/>
      </w:pPr>
      <w:r>
        <w:rPr>
          <w:rFonts w:ascii="Courier New" w:hAnsi="Courier New"/>
          <w:sz w:val="17"/>
        </w:rPr>
        <w:t>docker build --build-arg PYTHON_VERSION=3.12 -t heart-disease-api:local .</w:t>
        <w:br/>
      </w:r>
      <w:r>
        <w:rPr>
          <w:rFonts w:ascii="Courier New" w:hAnsi="Courier New"/>
          <w:sz w:val="17"/>
        </w:rPr>
        <w:t>kubectl apply -f k8s\deployment.yaml</w:t>
        <w:br/>
      </w:r>
      <w:r>
        <w:rPr>
          <w:rFonts w:ascii="Courier New" w:hAnsi="Courier New"/>
          <w:sz w:val="17"/>
        </w:rPr>
        <w:t>kubectl apply -f k8s\service.yaml</w:t>
      </w:r>
    </w:p>
    <w:p>
      <w:r>
        <w:t>The service is at http://localhost:8000 while Docker Desktop Kubernetes runs. Use /health to check readiness. Send sample_request.json to POST /predict. Open /monitor for counts or /metrics for Prometheus text.</w:t>
      </w:r>
    </w:p>
    <w:p>
      <w:r>
        <w:br w:type="page"/>
      </w:r>
    </w:p>
    <w:p>
      <w:pPr>
        <w:pStyle w:val="Heading1"/>
      </w:pPr>
      <w:r>
        <w:t>2 Data source and preparation</w:t>
      </w:r>
    </w:p>
    <w:p>
      <w:r>
        <w:t>The UCI processed Cleveland file has 303 rows, 13 inputs, and a target from 0 to 4. The download script checks the SHA-256 digest. It converts question marks to missing values. It removes incomplete or duplicate rows. It maps targets 1 through 4 to class 1.</w:t>
      </w:r>
    </w:p>
    <w:tbl>
      <w:tblPr>
        <w:tblStyle w:val="TableGrid"/>
        <w:tblW w:type="auto" w:w="0"/>
        <w:jc w:val="center"/>
        <w:tblLook w:firstColumn="1" w:firstRow="1" w:lastColumn="0" w:lastRow="0" w:noHBand="0" w:noVBand="1" w:val="04A0"/>
      </w:tblPr>
      <w:tblGrid>
        <w:gridCol w:w="4939"/>
        <w:gridCol w:w="4939"/>
      </w:tblGrid>
      <w:tr>
        <w:tc>
          <w:tcPr>
            <w:tcW w:type="dxa" w:w="4939"/>
            <w:shd w:fill="263746"/>
          </w:tcPr>
          <w:p>
            <w:r>
              <w:rPr>
                <w:b/>
                <w:color w:val="FFFFFF"/>
              </w:rPr>
              <w:t>Data check</w:t>
            </w:r>
          </w:p>
        </w:tc>
        <w:tc>
          <w:tcPr>
            <w:tcW w:type="dxa" w:w="4939"/>
            <w:shd w:fill="263746"/>
          </w:tcPr>
          <w:p>
            <w:r>
              <w:rPr>
                <w:b/>
                <w:color w:val="FFFFFF"/>
              </w:rPr>
              <w:t>Observed result</w:t>
            </w:r>
          </w:p>
        </w:tc>
      </w:tr>
      <w:tr>
        <w:tc>
          <w:tcPr>
            <w:tcW w:type="dxa" w:w="4939"/>
          </w:tcPr>
          <w:p>
            <w:r>
              <w:t>Raw rows</w:t>
            </w:r>
          </w:p>
        </w:tc>
        <w:tc>
          <w:tcPr>
            <w:tcW w:type="dxa" w:w="4939"/>
          </w:tcPr>
          <w:p>
            <w:r>
              <w:t>303</w:t>
            </w:r>
          </w:p>
        </w:tc>
      </w:tr>
      <w:tr>
        <w:tc>
          <w:tcPr>
            <w:tcW w:type="dxa" w:w="4939"/>
          </w:tcPr>
          <w:p>
            <w:r>
              <w:t>Rows after cleaning</w:t>
            </w:r>
          </w:p>
        </w:tc>
        <w:tc>
          <w:tcPr>
            <w:tcW w:type="dxa" w:w="4939"/>
          </w:tcPr>
          <w:p>
            <w:r>
              <w:t>297</w:t>
            </w:r>
          </w:p>
        </w:tc>
      </w:tr>
      <w:tr>
        <w:tc>
          <w:tcPr>
            <w:tcW w:type="dxa" w:w="4939"/>
          </w:tcPr>
          <w:p>
            <w:r>
              <w:t>Rows removed</w:t>
            </w:r>
          </w:p>
        </w:tc>
        <w:tc>
          <w:tcPr>
            <w:tcW w:type="dxa" w:w="4939"/>
          </w:tcPr>
          <w:p>
            <w:r>
              <w:t>6</w:t>
            </w:r>
          </w:p>
        </w:tc>
      </w:tr>
      <w:tr>
        <w:tc>
          <w:tcPr>
            <w:tcW w:type="dxa" w:w="4939"/>
          </w:tcPr>
          <w:p>
            <w:r>
              <w:t>Absent / present</w:t>
            </w:r>
          </w:p>
        </w:tc>
        <w:tc>
          <w:tcPr>
            <w:tcW w:type="dxa" w:w="4939"/>
          </w:tcPr>
          <w:p>
            <w:r>
              <w:t>160 / 137</w:t>
            </w:r>
          </w:p>
        </w:tc>
      </w:tr>
    </w:tbl>
    <w:p/>
    <w:p>
      <w:r>
        <w:t>The repository has the clean CSV and a JSON file with row counts. The model pipeline can fill missing values in future requests. It learns these values from each training fold. The test rows do not set them.</w:t>
      </w:r>
    </w:p>
    <w:p>
      <w:r>
        <w:t>Numeric inputs are age, resting blood pressure, cholesterol, maximum heart rate, and ST depression. The pipeline encodes the other eight inputs as categories. It does not use the target as an input.</w:t>
      </w:r>
    </w:p>
    <w:p>
      <w:r>
        <w:br w:type="page"/>
      </w:r>
    </w:p>
    <w:p>
      <w:pPr>
        <w:pStyle w:val="Heading1"/>
      </w:pPr>
      <w:r>
        <w:t>3 Exploratory data analysis</w:t>
      </w:r>
    </w:p>
    <w:p>
      <w:r>
        <w:t>The clean data has 160 class 0 rows and 137 class 1 rows. These plots show class counts and numeric values before model training.</w:t>
      </w:r>
    </w:p>
    <w:p>
      <w:pPr>
        <w:jc w:val="center"/>
      </w:pPr>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3657600" cy="2743200"/>
                    </a:xfrm>
                    <a:prstGeom prst="rect"/>
                  </pic:spPr>
                </pic:pic>
              </a:graphicData>
            </a:graphic>
          </wp:inline>
        </w:drawing>
      </w:r>
    </w:p>
    <w:p>
      <w:pPr>
        <w:pStyle w:val="Caption"/>
        <w:jc w:val="center"/>
      </w:pPr>
      <w:r>
        <w:t>Figure 2  Cleaned dataset class balance</w:t>
      </w:r>
    </w:p>
    <w:p>
      <w:pPr>
        <w:jc w:val="center"/>
      </w:pPr>
      <w:r>
        <w:drawing>
          <wp:inline xmlns:a="http://schemas.openxmlformats.org/drawingml/2006/main" xmlns:pic="http://schemas.openxmlformats.org/drawingml/2006/picture">
            <wp:extent cx="4754880" cy="3328416"/>
            <wp:docPr id="3" name="Picture 3"/>
            <wp:cNvGraphicFramePr>
              <a:graphicFrameLocks noChangeAspect="1"/>
            </wp:cNvGraphicFramePr>
            <a:graphic>
              <a:graphicData uri="http://schemas.openxmlformats.org/drawingml/2006/picture">
                <pic:pic>
                  <pic:nvPicPr>
                    <pic:cNvPr id="0" name="numeric_histograms.png"/>
                    <pic:cNvPicPr/>
                  </pic:nvPicPr>
                  <pic:blipFill>
                    <a:blip r:embed="rId11"/>
                    <a:stretch>
                      <a:fillRect/>
                    </a:stretch>
                  </pic:blipFill>
                  <pic:spPr>
                    <a:xfrm>
                      <a:off x="0" y="0"/>
                      <a:ext cx="4754880" cy="3328416"/>
                    </a:xfrm>
                    <a:prstGeom prst="rect"/>
                  </pic:spPr>
                </pic:pic>
              </a:graphicData>
            </a:graphic>
          </wp:inline>
        </w:drawing>
      </w:r>
    </w:p>
    <w:p>
      <w:pPr>
        <w:pStyle w:val="Caption"/>
        <w:jc w:val="center"/>
      </w:pPr>
      <w:r>
        <w:t>Figure 3  Numeric predictor distributions</w:t>
      </w:r>
    </w:p>
    <w:p>
      <w:r>
        <w:br w:type="page"/>
      </w:r>
    </w:p>
    <w:p>
      <w:pPr>
        <w:pStyle w:val="Heading1"/>
      </w:pPr>
      <w:r>
        <w:t>4 Feature engineering and visual findings</w:t>
      </w:r>
    </w:p>
    <w:p>
      <w:r>
        <w:t>The heatmap shows correlations between numeric inputs. It does not select features or show clinical cause. The box plots compare age and maximum heart rate by class. The small dataset limits these visual comparisons.</w:t>
      </w:r>
    </w:p>
    <w:p>
      <w:pPr>
        <w:jc w:val="center"/>
      </w:pPr>
      <w:r>
        <w:drawing>
          <wp:inline xmlns:a="http://schemas.openxmlformats.org/drawingml/2006/main" xmlns:pic="http://schemas.openxmlformats.org/drawingml/2006/picture">
            <wp:extent cx="4206240" cy="327152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206240" cy="3271520"/>
                    </a:xfrm>
                    <a:prstGeom prst="rect"/>
                  </pic:spPr>
                </pic:pic>
              </a:graphicData>
            </a:graphic>
          </wp:inline>
        </w:drawing>
      </w:r>
    </w:p>
    <w:p>
      <w:pPr>
        <w:pStyle w:val="Caption"/>
        <w:jc w:val="center"/>
      </w:pPr>
      <w:r>
        <w:t>Figure 4  Pairwise numeric correlations</w:t>
      </w:r>
    </w:p>
    <w:p>
      <w:pPr>
        <w:jc w:val="center"/>
      </w:pPr>
      <w:r>
        <w:drawing>
          <wp:inline xmlns:a="http://schemas.openxmlformats.org/drawingml/2006/main" xmlns:pic="http://schemas.openxmlformats.org/drawingml/2006/picture">
            <wp:extent cx="4572000" cy="1828800"/>
            <wp:docPr id="5" name="Picture 5"/>
            <wp:cNvGraphicFramePr>
              <a:graphicFrameLocks noChangeAspect="1"/>
            </wp:cNvGraphicFramePr>
            <a:graphic>
              <a:graphicData uri="http://schemas.openxmlformats.org/drawingml/2006/picture">
                <pic:pic>
                  <pic:nvPicPr>
                    <pic:cNvPr id="0" name="feature_by_target.png"/>
                    <pic:cNvPicPr/>
                  </pic:nvPicPr>
                  <pic:blipFill>
                    <a:blip r:embed="rId13"/>
                    <a:stretch>
                      <a:fillRect/>
                    </a:stretch>
                  </pic:blipFill>
                  <pic:spPr>
                    <a:xfrm>
                      <a:off x="0" y="0"/>
                      <a:ext cx="4572000" cy="1828800"/>
                    </a:xfrm>
                    <a:prstGeom prst="rect"/>
                  </pic:spPr>
                </pic:pic>
              </a:graphicData>
            </a:graphic>
          </wp:inline>
        </w:drawing>
      </w:r>
    </w:p>
    <w:p>
      <w:pPr>
        <w:pStyle w:val="Caption"/>
        <w:jc w:val="center"/>
      </w:pPr>
      <w:r>
        <w:t>Figure 5  Age and maximum heart rate by class</w:t>
      </w:r>
    </w:p>
    <w:p>
      <w:r>
        <w:br w:type="page"/>
      </w:r>
    </w:p>
    <w:p>
      <w:pPr>
        <w:pStyle w:val="Heading1"/>
      </w:pPr>
      <w:r>
        <w:t>5 Model design and selection</w:t>
      </w:r>
    </w:p>
    <w:p>
      <w:r>
        <w:t>The script uses seed 42 to split the data. It puts 80% in training and 20% in testing. Five stratified folds test each parameter set. Numeric inputs use median imputation and scaling. Categorical inputs use mode imputation and one-hot encoding. The pipeline fits preprocessing inside each fold.</w:t>
      </w:r>
    </w:p>
    <w:p>
      <w:r>
        <w:t>Logistic Regression is the linear baseline. Random Forest is the nonlinear model. The script selects the model with the highest mean validation ROC-AUC. It also records accuracy, precision, and recall.</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263746"/>
          </w:tcPr>
          <w:p>
            <w:r>
              <w:rPr>
                <w:b/>
                <w:color w:val="FFFFFF"/>
              </w:rPr>
              <w:t>Model</w:t>
            </w:r>
          </w:p>
        </w:tc>
        <w:tc>
          <w:tcPr>
            <w:tcW w:type="dxa" w:w="1976"/>
            <w:shd w:fill="263746"/>
          </w:tcPr>
          <w:p>
            <w:r>
              <w:rPr>
                <w:b/>
                <w:color w:val="FFFFFF"/>
              </w:rPr>
              <w:t>Accuracy</w:t>
            </w:r>
          </w:p>
        </w:tc>
        <w:tc>
          <w:tcPr>
            <w:tcW w:type="dxa" w:w="1976"/>
            <w:shd w:fill="263746"/>
          </w:tcPr>
          <w:p>
            <w:r>
              <w:rPr>
                <w:b/>
                <w:color w:val="FFFFFF"/>
              </w:rPr>
              <w:t>Precision</w:t>
            </w:r>
          </w:p>
        </w:tc>
        <w:tc>
          <w:tcPr>
            <w:tcW w:type="dxa" w:w="1976"/>
            <w:shd w:fill="263746"/>
          </w:tcPr>
          <w:p>
            <w:r>
              <w:rPr>
                <w:b/>
                <w:color w:val="FFFFFF"/>
              </w:rPr>
              <w:t>Recall</w:t>
            </w:r>
          </w:p>
        </w:tc>
        <w:tc>
          <w:tcPr>
            <w:tcW w:type="dxa" w:w="1976"/>
            <w:shd w:fill="263746"/>
          </w:tcPr>
          <w:p>
            <w:r>
              <w:rPr>
                <w:b/>
                <w:color w:val="FFFFFF"/>
              </w:rPr>
              <w:t>ROC-AUC</w:t>
            </w:r>
          </w:p>
        </w:tc>
      </w:tr>
      <w:tr>
        <w:tc>
          <w:tcPr>
            <w:tcW w:type="dxa" w:w="1976"/>
          </w:tcPr>
          <w:p>
            <w:r>
              <w:t>Logistic Regression</w:t>
            </w:r>
          </w:p>
        </w:tc>
        <w:tc>
          <w:tcPr>
            <w:tcW w:type="dxa" w:w="1976"/>
          </w:tcPr>
          <w:p>
            <w:r>
              <w:t>0.822</w:t>
            </w:r>
          </w:p>
        </w:tc>
        <w:tc>
          <w:tcPr>
            <w:tcW w:type="dxa" w:w="1976"/>
          </w:tcPr>
          <w:p>
            <w:r>
              <w:t>0.839</w:t>
            </w:r>
          </w:p>
        </w:tc>
        <w:tc>
          <w:tcPr>
            <w:tcW w:type="dxa" w:w="1976"/>
          </w:tcPr>
          <w:p>
            <w:r>
              <w:t>0.769</w:t>
            </w:r>
          </w:p>
        </w:tc>
        <w:tc>
          <w:tcPr>
            <w:tcW w:type="dxa" w:w="1976"/>
          </w:tcPr>
          <w:p>
            <w:r>
              <w:t>0.902</w:t>
            </w:r>
          </w:p>
        </w:tc>
      </w:tr>
      <w:tr>
        <w:tc>
          <w:tcPr>
            <w:tcW w:type="dxa" w:w="1976"/>
          </w:tcPr>
          <w:p>
            <w:r>
              <w:t>Random Forest</w:t>
            </w:r>
          </w:p>
        </w:tc>
        <w:tc>
          <w:tcPr>
            <w:tcW w:type="dxa" w:w="1976"/>
          </w:tcPr>
          <w:p>
            <w:r>
              <w:t>0.823</w:t>
            </w:r>
          </w:p>
        </w:tc>
        <w:tc>
          <w:tcPr>
            <w:tcW w:type="dxa" w:w="1976"/>
          </w:tcPr>
          <w:p>
            <w:r>
              <w:t>0.840</w:t>
            </w:r>
          </w:p>
        </w:tc>
        <w:tc>
          <w:tcPr>
            <w:tcW w:type="dxa" w:w="1976"/>
          </w:tcPr>
          <w:p>
            <w:r>
              <w:t>0.769</w:t>
            </w:r>
          </w:p>
        </w:tc>
        <w:tc>
          <w:tcPr>
            <w:tcW w:type="dxa" w:w="1976"/>
          </w:tcPr>
          <w:p>
            <w:r>
              <w:t>0.906</w:t>
            </w:r>
          </w:p>
        </w:tc>
      </w:tr>
    </w:tbl>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random_forest_cv_scores.png"/>
                    <pic:cNvPicPr/>
                  </pic:nvPicPr>
                  <pic:blipFill>
                    <a:blip r:embed="rId14"/>
                    <a:stretch>
                      <a:fillRect/>
                    </a:stretch>
                  </pic:blipFill>
                  <pic:spPr>
                    <a:xfrm>
                      <a:off x="0" y="0"/>
                      <a:ext cx="5303520" cy="2651760"/>
                    </a:xfrm>
                    <a:prstGeom prst="rect"/>
                  </pic:spPr>
                </pic:pic>
              </a:graphicData>
            </a:graphic>
          </wp:inline>
        </w:drawing>
      </w:r>
    </w:p>
    <w:p>
      <w:pPr>
        <w:pStyle w:val="Caption"/>
        <w:jc w:val="center"/>
      </w:pPr>
      <w:r>
        <w:t>Figure 6  Random Forest candidate validation scores</w:t>
      </w:r>
    </w:p>
    <w:p>
      <w:r>
        <w:br w:type="page"/>
      </w:r>
    </w:p>
    <w:p>
      <w:pPr>
        <w:pStyle w:val="Heading1"/>
      </w:pPr>
      <w:r>
        <w:t>6 Held out test evaluation</w:t>
      </w:r>
    </w:p>
    <w:p>
      <w:r>
        <w:t>Cross validation selected random forest. The script then tested it once on 60 held-out rows. The confusion matrix shows 28 true negatives, 4 false positives, 7 false negatives, and 21 true positives.</w:t>
      </w:r>
    </w:p>
    <w:tbl>
      <w:tblPr>
        <w:tblStyle w:val="TableGrid"/>
        <w:tblW w:type="auto" w:w="0"/>
        <w:jc w:val="center"/>
        <w:tblLook w:firstColumn="1" w:firstRow="1" w:lastColumn="0" w:lastRow="0" w:noHBand="0" w:noVBand="1" w:val="04A0"/>
      </w:tblPr>
      <w:tblGrid>
        <w:gridCol w:w="4939"/>
        <w:gridCol w:w="4939"/>
      </w:tblGrid>
      <w:tr>
        <w:tc>
          <w:tcPr>
            <w:tcW w:type="dxa" w:w="4939"/>
            <w:shd w:fill="263746"/>
          </w:tcPr>
          <w:p>
            <w:r>
              <w:rPr>
                <w:b/>
                <w:color w:val="FFFFFF"/>
              </w:rPr>
              <w:t>Metric</w:t>
            </w:r>
          </w:p>
        </w:tc>
        <w:tc>
          <w:tcPr>
            <w:tcW w:type="dxa" w:w="4939"/>
            <w:shd w:fill="263746"/>
          </w:tcPr>
          <w:p>
            <w:r>
              <w:rPr>
                <w:b/>
                <w:color w:val="FFFFFF"/>
              </w:rPr>
              <w:t>Test result</w:t>
            </w:r>
          </w:p>
        </w:tc>
      </w:tr>
      <w:tr>
        <w:tc>
          <w:tcPr>
            <w:tcW w:type="dxa" w:w="4939"/>
          </w:tcPr>
          <w:p>
            <w:r>
              <w:t>Accuracy</w:t>
            </w:r>
          </w:p>
        </w:tc>
        <w:tc>
          <w:tcPr>
            <w:tcW w:type="dxa" w:w="4939"/>
          </w:tcPr>
          <w:p>
            <w:r>
              <w:t>0.817</w:t>
            </w:r>
          </w:p>
        </w:tc>
      </w:tr>
      <w:tr>
        <w:tc>
          <w:tcPr>
            <w:tcW w:type="dxa" w:w="4939"/>
          </w:tcPr>
          <w:p>
            <w:r>
              <w:t>Precision</w:t>
            </w:r>
          </w:p>
        </w:tc>
        <w:tc>
          <w:tcPr>
            <w:tcW w:type="dxa" w:w="4939"/>
          </w:tcPr>
          <w:p>
            <w:r>
              <w:t>0.840</w:t>
            </w:r>
          </w:p>
        </w:tc>
      </w:tr>
      <w:tr>
        <w:tc>
          <w:tcPr>
            <w:tcW w:type="dxa" w:w="4939"/>
          </w:tcPr>
          <w:p>
            <w:r>
              <w:t>Recall</w:t>
            </w:r>
          </w:p>
        </w:tc>
        <w:tc>
          <w:tcPr>
            <w:tcW w:type="dxa" w:w="4939"/>
          </w:tcPr>
          <w:p>
            <w:r>
              <w:t>0.750</w:t>
            </w:r>
          </w:p>
        </w:tc>
      </w:tr>
      <w:tr>
        <w:tc>
          <w:tcPr>
            <w:tcW w:type="dxa" w:w="4939"/>
          </w:tcPr>
          <w:p>
            <w:r>
              <w:t>ROC-AUC</w:t>
            </w:r>
          </w:p>
        </w:tc>
        <w:tc>
          <w:tcPr>
            <w:tcW w:type="dxa" w:w="4939"/>
          </w:tcPr>
          <w:p>
            <w:r>
              <w:t>0.944</w:t>
            </w:r>
          </w:p>
        </w:tc>
      </w:tr>
    </w:tbl>
    <w:p/>
    <w:p>
      <w:pPr>
        <w:jc w:val="center"/>
      </w:pPr>
      <w:r>
        <w:drawing>
          <wp:inline xmlns:a="http://schemas.openxmlformats.org/drawingml/2006/main" xmlns:pic="http://schemas.openxmlformats.org/drawingml/2006/picture">
            <wp:extent cx="3017520" cy="2263140"/>
            <wp:docPr id="7" name="Picture 7"/>
            <wp:cNvGraphicFramePr>
              <a:graphicFrameLocks noChangeAspect="1"/>
            </wp:cNvGraphicFramePr>
            <a:graphic>
              <a:graphicData uri="http://schemas.openxmlformats.org/drawingml/2006/picture">
                <pic:pic>
                  <pic:nvPicPr>
                    <pic:cNvPr id="0" name="test_confusion_matrix.png"/>
                    <pic:cNvPicPr/>
                  </pic:nvPicPr>
                  <pic:blipFill>
                    <a:blip r:embed="rId15"/>
                    <a:stretch>
                      <a:fillRect/>
                    </a:stretch>
                  </pic:blipFill>
                  <pic:spPr>
                    <a:xfrm>
                      <a:off x="0" y="0"/>
                      <a:ext cx="3017520" cy="2263140"/>
                    </a:xfrm>
                    <a:prstGeom prst="rect"/>
                  </pic:spPr>
                </pic:pic>
              </a:graphicData>
            </a:graphic>
          </wp:inline>
        </w:drawing>
      </w:r>
    </w:p>
    <w:p>
      <w:pPr>
        <w:pStyle w:val="Caption"/>
        <w:jc w:val="center"/>
      </w:pPr>
      <w:r>
        <w:t>Figure 7  Test confusion matrix</w:t>
      </w:r>
    </w:p>
    <w:p>
      <w:pPr>
        <w:jc w:val="center"/>
      </w:pPr>
      <w:r>
        <w:drawing>
          <wp:inline xmlns:a="http://schemas.openxmlformats.org/drawingml/2006/main" xmlns:pic="http://schemas.openxmlformats.org/drawingml/2006/picture">
            <wp:extent cx="3017520" cy="2263140"/>
            <wp:docPr id="8" name="Picture 8"/>
            <wp:cNvGraphicFramePr>
              <a:graphicFrameLocks noChangeAspect="1"/>
            </wp:cNvGraphicFramePr>
            <a:graphic>
              <a:graphicData uri="http://schemas.openxmlformats.org/drawingml/2006/picture">
                <pic:pic>
                  <pic:nvPicPr>
                    <pic:cNvPr id="0" name="test_roc_curve.png"/>
                    <pic:cNvPicPr/>
                  </pic:nvPicPr>
                  <pic:blipFill>
                    <a:blip r:embed="rId16"/>
                    <a:stretch>
                      <a:fillRect/>
                    </a:stretch>
                  </pic:blipFill>
                  <pic:spPr>
                    <a:xfrm>
                      <a:off x="0" y="0"/>
                      <a:ext cx="3017520" cy="2263140"/>
                    </a:xfrm>
                    <a:prstGeom prst="rect"/>
                  </pic:spPr>
                </pic:pic>
              </a:graphicData>
            </a:graphic>
          </wp:inline>
        </w:drawing>
      </w:r>
    </w:p>
    <w:p>
      <w:pPr>
        <w:pStyle w:val="Caption"/>
        <w:jc w:val="center"/>
      </w:pPr>
      <w:r>
        <w:t>Figure 8  Test ROC curve</w:t>
      </w:r>
    </w:p>
    <w:p>
      <w:r>
        <w:br w:type="page"/>
      </w:r>
    </w:p>
    <w:p>
      <w:pPr>
        <w:pStyle w:val="Heading1"/>
      </w:pPr>
      <w:r>
        <w:t>7 Experiment tracking and reproducibility</w:t>
      </w:r>
    </w:p>
    <w:p>
      <w:r>
        <w:t>MLflow stores one run for each candidate model and one run for the selected model. Candidate runs include parameters, validation scores, search results, and plots. The selected run includes test scores, figures, metadata, and the fitted model. SQLite stores run metadata. Artifact files remain on disk. GitHub Actions uploads both.</w:t>
      </w:r>
    </w:p>
    <w:p>
      <w:pPr>
        <w:jc w:val="center"/>
      </w:pPr>
      <w:r>
        <w:drawing>
          <wp:inline xmlns:a="http://schemas.openxmlformats.org/drawingml/2006/main" xmlns:pic="http://schemas.openxmlformats.org/drawingml/2006/picture">
            <wp:extent cx="5212080" cy="2090893"/>
            <wp:docPr id="9" name="Picture 9"/>
            <wp:cNvGraphicFramePr>
              <a:graphicFrameLocks noChangeAspect="1"/>
            </wp:cNvGraphicFramePr>
            <a:graphic>
              <a:graphicData uri="http://schemas.openxmlformats.org/drawingml/2006/picture">
                <pic:pic>
                  <pic:nvPicPr>
                    <pic:cNvPr id="0" name="04-mlflow.png"/>
                    <pic:cNvPicPr/>
                  </pic:nvPicPr>
                  <pic:blipFill>
                    <a:blip r:embed="rId17"/>
                    <a:stretch>
                      <a:fillRect/>
                    </a:stretch>
                  </pic:blipFill>
                  <pic:spPr>
                    <a:xfrm>
                      <a:off x="0" y="0"/>
                      <a:ext cx="5212080" cy="2090893"/>
                    </a:xfrm>
                    <a:prstGeom prst="rect"/>
                  </pic:spPr>
                </pic:pic>
              </a:graphicData>
            </a:graphic>
          </wp:inline>
        </w:drawing>
      </w:r>
    </w:p>
    <w:p>
      <w:pPr>
        <w:pStyle w:val="Caption"/>
        <w:jc w:val="center"/>
      </w:pPr>
      <w:r>
        <w:t>Figure 9  MLflow candidate and selected run metrics</w:t>
      </w:r>
    </w:p>
    <w:p>
      <w:r>
        <w:t>The joblib file contains the fitted preprocessing and classifier. Model metadata lists the source checksum, selected parameters, inputs, seed, package version, and test scores. The requirements and download script support a new run.</w:t>
      </w:r>
    </w:p>
    <w:p>
      <w:r>
        <w:br w:type="page"/>
      </w:r>
    </w:p>
    <w:p>
      <w:pPr>
        <w:pStyle w:val="Heading1"/>
      </w:pPr>
      <w:r>
        <w:t>8 Quality checks and continuous integration</w:t>
      </w:r>
    </w:p>
    <w:p>
      <w:r>
        <w:t>Unit tests check target mapping, missing data, invalid targets, model output, API inputs, readiness, and monitoring endpoints. GitHub Actions runs Ruff, Pytest, data preparation, EDA, model training, and a Docker build. A failed required step marks the job as failed. The upload step still saves model and experiment files.</w:t>
      </w:r>
    </w:p>
    <w:p>
      <w:pPr>
        <w:jc w:val="center"/>
      </w:pPr>
      <w:r>
        <w:drawing>
          <wp:inline xmlns:a="http://schemas.openxmlformats.org/drawingml/2006/main" xmlns:pic="http://schemas.openxmlformats.org/drawingml/2006/picture">
            <wp:extent cx="4009173" cy="2011680"/>
            <wp:docPr id="10" name="Picture 10"/>
            <wp:cNvGraphicFramePr>
              <a:graphicFrameLocks noChangeAspect="1"/>
            </wp:cNvGraphicFramePr>
            <a:graphic>
              <a:graphicData uri="http://schemas.openxmlformats.org/drawingml/2006/picture">
                <pic:pic>
                  <pic:nvPicPr>
                    <pic:cNvPr id="0" name="05-tests-ci.png"/>
                    <pic:cNvPicPr/>
                  </pic:nvPicPr>
                  <pic:blipFill>
                    <a:blip r:embed="rId18"/>
                    <a:stretch>
                      <a:fillRect/>
                    </a:stretch>
                  </pic:blipFill>
                  <pic:spPr>
                    <a:xfrm>
                      <a:off x="0" y="0"/>
                      <a:ext cx="4009173" cy="2011680"/>
                    </a:xfrm>
                    <a:prstGeom prst="rect"/>
                  </pic:spPr>
                </pic:pic>
              </a:graphicData>
            </a:graphic>
          </wp:inline>
        </w:drawing>
      </w:r>
    </w:p>
    <w:p>
      <w:pPr>
        <w:pStyle w:val="Caption"/>
        <w:jc w:val="center"/>
      </w:pPr>
      <w:r>
        <w:t>Figure 10  Passing GitHub Actions workflow</w:t>
      </w:r>
    </w:p>
    <w:p>
      <w:pPr>
        <w:jc w:val="center"/>
      </w:pPr>
      <w:r>
        <w:drawing>
          <wp:inline xmlns:a="http://schemas.openxmlformats.org/drawingml/2006/main" xmlns:pic="http://schemas.openxmlformats.org/drawingml/2006/picture">
            <wp:extent cx="4663440" cy="965801"/>
            <wp:docPr id="11" name="Picture 11"/>
            <wp:cNvGraphicFramePr>
              <a:graphicFrameLocks noChangeAspect="1"/>
            </wp:cNvGraphicFramePr>
            <a:graphic>
              <a:graphicData uri="http://schemas.openxmlformats.org/drawingml/2006/picture">
                <pic:pic>
                  <pic:nvPicPr>
                    <pic:cNvPr id="0" name="05-tests-ci-artifacts.png"/>
                    <pic:cNvPicPr/>
                  </pic:nvPicPr>
                  <pic:blipFill>
                    <a:blip r:embed="rId19"/>
                    <a:stretch>
                      <a:fillRect/>
                    </a:stretch>
                  </pic:blipFill>
                  <pic:spPr>
                    <a:xfrm>
                      <a:off x="0" y="0"/>
                      <a:ext cx="4663440" cy="965801"/>
                    </a:xfrm>
                    <a:prstGeom prst="rect"/>
                  </pic:spPr>
                </pic:pic>
              </a:graphicData>
            </a:graphic>
          </wp:inline>
        </w:drawing>
      </w:r>
    </w:p>
    <w:p>
      <w:pPr>
        <w:pStyle w:val="Caption"/>
        <w:jc w:val="center"/>
      </w:pPr>
      <w:r>
        <w:t>Figure 11  Uploaded workflow artifact</w:t>
      </w:r>
    </w:p>
    <w:p>
      <w:pPr>
        <w:jc w:val="center"/>
      </w:pPr>
      <w:r>
        <w:drawing>
          <wp:inline xmlns:a="http://schemas.openxmlformats.org/drawingml/2006/main" xmlns:pic="http://schemas.openxmlformats.org/drawingml/2006/picture">
            <wp:extent cx="4572000" cy="1846945"/>
            <wp:docPr id="12" name="Picture 12"/>
            <wp:cNvGraphicFramePr>
              <a:graphicFrameLocks noChangeAspect="1"/>
            </wp:cNvGraphicFramePr>
            <a:graphic>
              <a:graphicData uri="http://schemas.openxmlformats.org/drawingml/2006/picture">
                <pic:pic>
                  <pic:nvPicPr>
                    <pic:cNvPr id="0" name="06-docker.png"/>
                    <pic:cNvPicPr/>
                  </pic:nvPicPr>
                  <pic:blipFill>
                    <a:blip r:embed="rId20"/>
                    <a:stretch>
                      <a:fillRect/>
                    </a:stretch>
                  </pic:blipFill>
                  <pic:spPr>
                    <a:xfrm>
                      <a:off x="0" y="0"/>
                      <a:ext cx="4572000" cy="1846945"/>
                    </a:xfrm>
                    <a:prstGeom prst="rect"/>
                  </pic:spPr>
                </pic:pic>
              </a:graphicData>
            </a:graphic>
          </wp:inline>
        </w:drawing>
      </w:r>
    </w:p>
    <w:p>
      <w:pPr>
        <w:pStyle w:val="Caption"/>
        <w:jc w:val="center"/>
      </w:pPr>
      <w:r>
        <w:t>Figure 12  Local Docker image build</w:t>
      </w:r>
    </w:p>
    <w:p>
      <w:pPr>
        <w:jc w:val="center"/>
      </w:pPr>
      <w:r>
        <w:drawing>
          <wp:inline xmlns:a="http://schemas.openxmlformats.org/drawingml/2006/main" xmlns:pic="http://schemas.openxmlformats.org/drawingml/2006/picture">
            <wp:extent cx="4751016" cy="1417320"/>
            <wp:docPr id="13" name="Picture 13"/>
            <wp:cNvGraphicFramePr>
              <a:graphicFrameLocks noChangeAspect="1"/>
            </wp:cNvGraphicFramePr>
            <a:graphic>
              <a:graphicData uri="http://schemas.openxmlformats.org/drawingml/2006/picture">
                <pic:pic>
                  <pic:nvPicPr>
                    <pic:cNvPr id="0" name="07-docker-prediction.png"/>
                    <pic:cNvPicPr/>
                  </pic:nvPicPr>
                  <pic:blipFill>
                    <a:blip r:embed="rId21"/>
                    <a:stretch>
                      <a:fillRect/>
                    </a:stretch>
                  </pic:blipFill>
                  <pic:spPr>
                    <a:xfrm>
                      <a:off x="0" y="0"/>
                      <a:ext cx="4751016" cy="1417320"/>
                    </a:xfrm>
                    <a:prstGeom prst="rect"/>
                  </pic:spPr>
                </pic:pic>
              </a:graphicData>
            </a:graphic>
          </wp:inline>
        </w:drawing>
      </w:r>
    </w:p>
    <w:p>
      <w:pPr>
        <w:pStyle w:val="Caption"/>
        <w:jc w:val="center"/>
      </w:pPr>
      <w:r>
        <w:t>Figure 13  Local container prediction and request logs</w:t>
      </w:r>
    </w:p>
    <w:p>
      <w:r>
        <w:br w:type="page"/>
      </w:r>
    </w:p>
    <w:p>
      <w:pPr>
        <w:pStyle w:val="Heading1"/>
      </w:pPr>
      <w:r>
        <w:t>9 Deployment monitoring and limitations</w:t>
      </w:r>
    </w:p>
    <w:p>
      <w:r>
        <w:t>Docker Desktop Kubernetes runs one API pod. The deployment sets health probes and CPU and memory limits. A LoadBalancer Service uses port 8000. The API has /predict, /health, /metrics, /monitor, and OpenAPI documentation. Logs contain method, route, status, and duration. They omit patient values.</w:t>
      </w:r>
    </w:p>
    <w:p>
      <w:r>
        <w:t>The sample request returned class 1 from both the container and Kubernetes service. Its positive-class probability and confidence were 0.9837. This score is not a validated clinical risk estimate.</w:t>
      </w:r>
    </w:p>
    <w:p>
      <w:pPr>
        <w:jc w:val="center"/>
      </w:pPr>
      <w:r>
        <w:drawing>
          <wp:inline xmlns:a="http://schemas.openxmlformats.org/drawingml/2006/main" xmlns:pic="http://schemas.openxmlformats.org/drawingml/2006/picture">
            <wp:extent cx="4754880" cy="742489"/>
            <wp:docPr id="14" name="Picture 14"/>
            <wp:cNvGraphicFramePr>
              <a:graphicFrameLocks noChangeAspect="1"/>
            </wp:cNvGraphicFramePr>
            <a:graphic>
              <a:graphicData uri="http://schemas.openxmlformats.org/drawingml/2006/picture">
                <pic:pic>
                  <pic:nvPicPr>
                    <pic:cNvPr id="0" name="08-kubernetes.png"/>
                    <pic:cNvPicPr/>
                  </pic:nvPicPr>
                  <pic:blipFill>
                    <a:blip r:embed="rId22"/>
                    <a:stretch>
                      <a:fillRect/>
                    </a:stretch>
                  </pic:blipFill>
                  <pic:spPr>
                    <a:xfrm>
                      <a:off x="0" y="0"/>
                      <a:ext cx="4754880" cy="742489"/>
                    </a:xfrm>
                    <a:prstGeom prst="rect"/>
                  </pic:spPr>
                </pic:pic>
              </a:graphicData>
            </a:graphic>
          </wp:inline>
        </w:drawing>
      </w:r>
    </w:p>
    <w:p>
      <w:pPr>
        <w:pStyle w:val="Caption"/>
        <w:jc w:val="center"/>
      </w:pPr>
      <w:r>
        <w:t>Figure 14  Ready Kubernetes pod and LoadBalancer Service</w:t>
      </w:r>
    </w:p>
    <w:p>
      <w:pPr>
        <w:jc w:val="center"/>
      </w:pPr>
      <w:r>
        <w:drawing>
          <wp:inline xmlns:a="http://schemas.openxmlformats.org/drawingml/2006/main" xmlns:pic="http://schemas.openxmlformats.org/drawingml/2006/picture">
            <wp:extent cx="4846320" cy="577187"/>
            <wp:docPr id="15" name="Picture 15"/>
            <wp:cNvGraphicFramePr>
              <a:graphicFrameLocks noChangeAspect="1"/>
            </wp:cNvGraphicFramePr>
            <a:graphic>
              <a:graphicData uri="http://schemas.openxmlformats.org/drawingml/2006/picture">
                <pic:pic>
                  <pic:nvPicPr>
                    <pic:cNvPr id="0" name="09-kubernetes-prediction.png"/>
                    <pic:cNvPicPr/>
                  </pic:nvPicPr>
                  <pic:blipFill>
                    <a:blip r:embed="rId23"/>
                    <a:stretch>
                      <a:fillRect/>
                    </a:stretch>
                  </pic:blipFill>
                  <pic:spPr>
                    <a:xfrm>
                      <a:off x="0" y="0"/>
                      <a:ext cx="4846320" cy="577187"/>
                    </a:xfrm>
                    <a:prstGeom prst="rect"/>
                  </pic:spPr>
                </pic:pic>
              </a:graphicData>
            </a:graphic>
          </wp:inline>
        </w:drawing>
      </w:r>
    </w:p>
    <w:p>
      <w:pPr>
        <w:pStyle w:val="Caption"/>
        <w:jc w:val="center"/>
      </w:pPr>
      <w:r>
        <w:t>Figure 15  Prediction from the deployed Kubernetes API</w:t>
      </w:r>
    </w:p>
    <w:p>
      <w:pPr>
        <w:jc w:val="center"/>
      </w:pPr>
      <w:r>
        <w:drawing>
          <wp:inline xmlns:a="http://schemas.openxmlformats.org/drawingml/2006/main" xmlns:pic="http://schemas.openxmlformats.org/drawingml/2006/picture">
            <wp:extent cx="3400022" cy="2011680"/>
            <wp:docPr id="16" name="Picture 16"/>
            <wp:cNvGraphicFramePr>
              <a:graphicFrameLocks noChangeAspect="1"/>
            </wp:cNvGraphicFramePr>
            <a:graphic>
              <a:graphicData uri="http://schemas.openxmlformats.org/drawingml/2006/picture">
                <pic:pic>
                  <pic:nvPicPr>
                    <pic:cNvPr id="0" name="10-monitoring.png"/>
                    <pic:cNvPicPr/>
                  </pic:nvPicPr>
                  <pic:blipFill>
                    <a:blip r:embed="rId24"/>
                    <a:stretch>
                      <a:fillRect/>
                    </a:stretch>
                  </pic:blipFill>
                  <pic:spPr>
                    <a:xfrm>
                      <a:off x="0" y="0"/>
                      <a:ext cx="3400022" cy="2011680"/>
                    </a:xfrm>
                    <a:prstGeom prst="rect"/>
                  </pic:spPr>
                </pic:pic>
              </a:graphicData>
            </a:graphic>
          </wp:inline>
        </w:drawing>
      </w:r>
    </w:p>
    <w:p>
      <w:pPr>
        <w:pStyle w:val="Caption"/>
        <w:jc w:val="center"/>
      </w:pPr>
      <w:r>
        <w:t>Figure 16  Live API monitoring dashboard</w:t>
      </w:r>
    </w:p>
    <w:p>
      <w:r>
        <w:t>The dataset is small and historical. This work has no external validation or fairness assessment. Model probabilities are not calibrated clinical risks. The Kubernetes API is available only on the local laptop.</w:t>
      </w:r>
    </w:p>
    <w:p>
      <w:r>
        <w:t>Repository: https://github.com/merajafnan/heart-disease-mlops</w:t>
      </w:r>
    </w:p>
    <w:p>
      <w:r>
        <w:t>Source: Janosi et al., Heart Disease, UCI Machine Learning Repository, 1988. https://doi.org/10.24432/C52P4X</w:t>
      </w:r>
    </w:p>
    <w:sectPr w:rsidR="00FC693F" w:rsidRPr="0006063C" w:rsidSect="00034616">
      <w:pgSz w:w="12240" w:h="15840"/>
      <w:pgMar w:top="1037" w:right="1181" w:bottom="96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3C3C3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