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left"/>
        <w:rPr>
          <w:color w:val="000000" w:themeColor="text1"/>
          <w:sz w:val="18"/>
          <w:szCs w:val="18"/>
        </w:rPr>
      </w:pPr>
      <w:r>
        <w:rPr>
          <w:rFonts w:ascii="맑은 고딕" w:hAnsi="맑은 고딕" w:eastAsia="맑은 고딕" w:cs="맑은 고딕"/>
          <w:b/>
          <w:bCs/>
          <w:color w:val="000000" w:themeColor="text1"/>
          <w:sz w:val="32"/>
          <w:szCs w:val="32"/>
        </w:rPr>
        <w:t xml:space="preserve">사이버훈련과 AI 기술 융합 동향</w:t>
      </w:r>
      <w:r>
        <w:rPr>
          <w:rFonts w:ascii="맑은 고딕" w:hAnsi="맑은 고딕" w:eastAsia="맑은 고딕" w:cs="맑은 고딕"/>
          <w:i/>
          <w:iCs/>
          <w:color w:val="595959"/>
          <w:sz w:val="18"/>
          <w:szCs w:val="18"/>
          <w:lang w:val="ko-KR"/>
        </w:rPr>
        <w:t xml:space="preserve">(국</w:t>
      </w:r>
      <w:r>
        <w:rPr>
          <w:rFonts w:ascii="맑은 고딕" w:hAnsi="맑은 고딕" w:eastAsia="맑은 고딕" w:cs="맑은 고딕"/>
          <w:i/>
          <w:iCs/>
          <w:color w:val="595959"/>
          <w:sz w:val="18"/>
          <w:szCs w:val="18"/>
        </w:rPr>
        <w:t xml:space="preserve">내·해외·해사 도메인 연구 동향 분석</w:t>
      </w:r>
      <w:r>
        <w:rPr>
          <w:rFonts w:ascii="맑은 고딕" w:hAnsi="맑은 고딕" w:eastAsia="맑은 고딕" w:cs="맑은 고딕"/>
          <w:i/>
          <w:iCs/>
          <w:color w:val="595959"/>
          <w:sz w:val="18"/>
          <w:szCs w:val="18"/>
          <w:lang w:val="ko-KR"/>
        </w:rPr>
        <w:t xml:space="preserve">)</w:t>
      </w:r>
      <w:r/>
      <w:r>
        <w:rPr>
          <w:color w:val="000000" w:themeColor="text1"/>
          <w:sz w:val="18"/>
          <w:szCs w:val="18"/>
        </w:rPr>
      </w:r>
    </w:p>
    <w:p>
      <w:pPr>
        <w:pBdr/>
        <w:spacing w:line="192" w:lineRule="auto"/>
        <w:ind/>
        <w:jc w:val="left"/>
        <w:rPr>
          <w:sz w:val="18"/>
          <w:szCs w:val="18"/>
        </w:rPr>
      </w:pPr>
      <w:r>
        <w:rPr>
          <w:rFonts w:ascii="맑은 고딕" w:hAnsi="맑은 고딕" w:eastAsia="맑은 고딕" w:cs="맑은 고딕"/>
          <w:sz w:val="18"/>
          <w:szCs w:val="18"/>
        </w:rPr>
        <w:t xml:space="preserve">사이버 공격의 자동화·고도화에 대응하기 위해 국내외 연구는 퍼지 추론, 강화학습(RL), 생성형 AI, 에이전틱 AI(Agentic AI) 등을 사이버훈련(Cyber Exercise)의 시나리오 생성·실행·평가 전 과정에 접목하고 있다. 본 보고서는 국내, 해외, 해사(海事) 도메인 순으로 관련 연구를 정리하고, 사이버훈련과 AI 기술 융합의 방향성을 제시한다.</w:t>
      </w:r>
      <w:r>
        <w:rPr>
          <w:sz w:val="18"/>
          <w:szCs w:val="18"/>
        </w:rPr>
      </w:r>
    </w:p>
    <w:p>
      <w:pPr>
        <w:pStyle w:val="706"/>
        <w:pBdr/>
        <w:spacing w:after="120" w:before="260"/>
        <w:ind/>
        <w:jc w:val="left"/>
        <w:rPr>
          <w:color w:val="000000" w:themeColor="text1"/>
          <w:sz w:val="28"/>
          <w:szCs w:val="28"/>
        </w:rPr>
      </w:pPr>
      <w:r>
        <w:rPr>
          <w:rFonts w:ascii="맑은 고딕" w:hAnsi="맑은 고딕" w:eastAsia="맑은 고딕" w:cs="맑은 고딕"/>
          <w:b/>
          <w:bCs/>
          <w:color w:val="000000" w:themeColor="text1"/>
          <w:sz w:val="24"/>
          <w:szCs w:val="24"/>
        </w:rPr>
        <w:t xml:space="preserve">1. 한국의 사이버훈련 AI 기술 활용 동향</w:t>
      </w:r>
      <w:r>
        <w:rPr>
          <w:color w:val="000000" w:themeColor="text1"/>
          <w:sz w:val="28"/>
          <w:szCs w:val="28"/>
        </w:rPr>
      </w:r>
    </w:p>
    <w:p>
      <w:pPr>
        <w:pStyle w:val="707"/>
        <w:pBdr/>
        <w:spacing w:after="80" w:before="160"/>
        <w:ind/>
        <w:jc w:val="left"/>
        <w:rPr>
          <w:color w:val="000000" w:themeColor="text1"/>
          <w:sz w:val="24"/>
          <w:szCs w:val="24"/>
        </w:rPr>
      </w:pPr>
      <w:r>
        <w:rPr>
          <w:rFonts w:ascii="맑은 고딕" w:hAnsi="맑은 고딕" w:eastAsia="맑은 고딕" w:cs="맑은 고딕"/>
          <w:b/>
          <w:bCs/>
          <w:color w:val="000000" w:themeColor="text1"/>
          <w:sz w:val="20"/>
          <w:szCs w:val="20"/>
        </w:rPr>
        <w:t xml:space="preserve">1.1 퍼지 규칙 기반 맞춤형 훈련 시나리오 생성 (남수만, 2020)</w:t>
      </w:r>
      <w:r>
        <w:rPr>
          <w:color w:val="000000" w:themeColor="text1"/>
          <w:sz w:val="24"/>
          <w:szCs w:val="24"/>
        </w:rPr>
      </w:r>
    </w:p>
    <w:p>
      <w:pPr>
        <w:pBdr/>
        <w:spacing w:after="120" w:line="192" w:lineRule="auto"/>
        <w:ind/>
        <w:jc w:val="left"/>
        <w:rPr>
          <w:sz w:val="18"/>
          <w:szCs w:val="18"/>
        </w:rPr>
      </w:pPr>
      <w:r>
        <w:rPr>
          <w:rFonts w:ascii="맑은 고딕" w:hAnsi="맑은 고딕" w:eastAsia="맑은 고딕" w:cs="맑은 고딕"/>
          <w:sz w:val="18"/>
          <w:szCs w:val="18"/>
        </w:rPr>
        <w:t xml:space="preserve">사이버 레인지 콘텐츠의 고비용·1회성 소모·재사용성 부재 문제를 해결하기 위해, 상용 플랫폼 Cyber Aegis에 Random Forest 기반 학습자 진단 엔진과 81개 규칙(3⁴</w:t>
      </w:r>
      <w:r>
        <w:rPr>
          <w:rFonts w:ascii="맑은 고딕" w:hAnsi="맑은 고딕" w:eastAsia="맑은 고딕" w:cs="맑은 고딕"/>
          <w:sz w:val="18"/>
          <w:szCs w:val="18"/>
        </w:rPr>
        <w:t xml:space="preserve">, 시스템·네트워크·웹·악성코드 4개 영역×BG/IM/EX 3단계)의 Mamdani Min-Max 퍼지 추론 엔진을 결합한 시스템이 제안되었다. 300여 개 단위 콘텐츠를 학습자의 약점 영역이 최초 침투 통로가 되도록 APT 4단계(침투-검색-수집-유출)로 자동 재배열하며, 무게중심법(Centroid)으로 최종 시나리오를 역퍼지화한다. 다만 사전 정의된 콘텐츠 풀 내 조합·재배열에 그쳐, AI가 새로운 공격 콘텐츠 자체를 생성하지는 못한다는 한계가 있다.</w:t>
      </w:r>
      <w:r>
        <w:rPr>
          <w:sz w:val="18"/>
          <w:szCs w:val="18"/>
        </w:rPr>
      </w:r>
    </w:p>
    <w:p>
      <w:pPr>
        <w:pStyle w:val="707"/>
        <w:pBdr/>
        <w:spacing w:after="80" w:before="160"/>
        <w:ind/>
        <w:jc w:val="left"/>
        <w:rPr>
          <w:color w:val="000000" w:themeColor="text1"/>
          <w:sz w:val="24"/>
          <w:szCs w:val="24"/>
        </w:rPr>
      </w:pPr>
      <w:r>
        <w:rPr>
          <w:rFonts w:ascii="맑은 고딕" w:hAnsi="맑은 고딕" w:eastAsia="맑은 고딕" w:cs="맑은 고딕"/>
          <w:b/>
          <w:bCs/>
          <w:color w:val="000000" w:themeColor="text1"/>
          <w:sz w:val="20"/>
          <w:szCs w:val="20"/>
        </w:rPr>
        <w:t xml:space="preserve">1.2 ATT&amp;CK 기반 자동화 위협 모의 실행: CyTEA (김동화 외, 2020)</w:t>
      </w:r>
      <w:r>
        <w:rPr>
          <w:color w:val="000000" w:themeColor="text1"/>
          <w:sz w:val="24"/>
          <w:szCs w:val="24"/>
        </w:rPr>
      </w:r>
    </w:p>
    <w:p>
      <w:pPr>
        <w:pBdr/>
        <w:spacing w:after="120" w:line="192" w:lineRule="auto"/>
        <w:ind/>
        <w:jc w:val="left"/>
        <w:rPr>
          <w:sz w:val="18"/>
          <w:szCs w:val="18"/>
        </w:rPr>
      </w:pPr>
      <w:r>
        <w:rPr>
          <w:rFonts w:ascii="맑은 고딕" w:hAnsi="맑은 고딕" w:eastAsia="맑은 고딕" w:cs="맑은 고딕"/>
          <w:sz w:val="18"/>
          <w:szCs w:val="18"/>
        </w:rPr>
        <w:t xml:space="preserve">MITRE ATT&amp;CK 기술을 단위위협(Unit Threat)으로 정의하고 성공·실패에 따라 분기하는 상태 천이(State Transition) 구조로 위협을 자동 실행하는 CyTEA가 제안되었다. 대상 호스트를 attacker/victim/C&amp;C 등 심볼로 정의해 토폴로지가 달라져도 시나리오를 재사용할 수 있으며, 실제 APT 사례 Operation Dust Storm의 12단계 킬체</w:t>
      </w:r>
      <w:r>
        <w:rPr>
          <w:rFonts w:ascii="맑은 고딕" w:hAnsi="맑은 고딕" w:eastAsia="맑은 고딕" w:cs="맑은 고딕"/>
          <w:sz w:val="18"/>
          <w:szCs w:val="18"/>
        </w:rPr>
        <w:t xml:space="preserve">인으로 검증하였다. 방어 미적용 시 12단계 전체가 성공해 정보가 유출되었으나, IP 차단은 3회 재시도 후 실패, 도메인 차단은 C&amp;C 주소 획득 단계에서 실패, 메일 차단은 최초 침투 자체가 차단되는 등 방어 수준별로 상이한 동적 결과가 관측되었다. 다만 CyTEA는 사전 저작된 시나리오·프로파일을 조건 분기로 자동 실행하는 자동화 도구로, ATT&amp;CK를 학습해 새로운 공격 경로를 스스로 탐색·생성하는 AI 에이전트와는 구별된다.</w:t>
      </w:r>
      <w:r>
        <w:rPr>
          <w:sz w:val="18"/>
          <w:szCs w:val="18"/>
        </w:rPr>
      </w:r>
    </w:p>
    <w:p>
      <w:pPr>
        <w:pStyle w:val="707"/>
        <w:pBdr/>
        <w:spacing w:after="80" w:before="160"/>
        <w:ind/>
        <w:jc w:val="left"/>
        <w:rPr>
          <w:color w:val="000000" w:themeColor="text1"/>
          <w:sz w:val="24"/>
          <w:szCs w:val="24"/>
        </w:rPr>
      </w:pPr>
      <w:r>
        <w:rPr>
          <w:rFonts w:ascii="맑은 고딕" w:hAnsi="맑은 고딕" w:eastAsia="맑은 고딕" w:cs="맑은 고딕"/>
          <w:b/>
          <w:bCs/>
          <w:color w:val="000000" w:themeColor="text1"/>
          <w:sz w:val="20"/>
          <w:szCs w:val="20"/>
        </w:rPr>
        <w:t xml:space="preserve">1.3 강화학습 기반 자율 침투테스트 환경 동향 (김범석 외, ETRI, 2026)</w:t>
      </w:r>
      <w:r>
        <w:rPr>
          <w:color w:val="000000" w:themeColor="text1"/>
          <w:sz w:val="24"/>
          <w:szCs w:val="24"/>
        </w:rPr>
      </w:r>
    </w:p>
    <w:p>
      <w:pPr>
        <w:pBdr/>
        <w:spacing w:after="120" w:line="192" w:lineRule="auto"/>
        <w:ind/>
        <w:jc w:val="left"/>
        <w:rPr>
          <w:color w:val="000000" w:themeColor="text1"/>
          <w:sz w:val="18"/>
          <w:szCs w:val="18"/>
        </w:rPr>
      </w:pPr>
      <w:r>
        <w:rPr>
          <w:rFonts w:ascii="맑은 고딕" w:hAnsi="맑은 고딕" w:eastAsia="맑은 고딕" w:cs="맑은 고딕"/>
          <w:color w:val="000000" w:themeColor="text1"/>
          <w:sz w:val="18"/>
          <w:szCs w:val="18"/>
        </w:rPr>
        <w:t xml:space="preserve">시뮬레이션(NASim, CyberBattleSim, APRIL), 에뮬레이션(CyGIL, PenGym), 하이브리드(NASimEmu, GAP) 3개 범주의 RL 기반 자율 공격 에이전트 환경 7종을 MDP 설계·확장성·일반화 성능 기준으로 비교하였다. 이산 행동 공간의 조합 폭발 문제를 TSDAE 임베딩으로 해결한 APRIL은 대규모 호스트 환경에서 기존 DQ</w:t>
      </w:r>
      <w:r>
        <w:rPr>
          <w:rFonts w:ascii="맑은 고딕" w:hAnsi="맑은 고딕" w:eastAsia="맑은 고딕" w:cs="맑은 고딕"/>
          <w:color w:val="000000" w:themeColor="text1"/>
          <w:sz w:val="18"/>
          <w:szCs w:val="18"/>
        </w:rPr>
        <w:t xml:space="preserve">N·PPO 대비 빠른 수렴을 보였고, 실제 에뮬레이션 로그를 시뮬레이션에 환류시키는 Real-to-Sim-to-Real 구조의 GAP은 미지 환경 전이 시 학습 시간을 약 40% 단축하고 APRIL 대비 약 22% 빠른 적응 속도를 기록하였다. 연구진은 이러한 자율 침투테스트 기술을 지능형 레드팀 에이전트로 사이버 레인지에 배치하면, 사람의 개입 없이 반복적이고 정교한 공격을 자동 생성해 블루팀의 방어 대응 훈련을 자동화할 수 있다는 방향성을 제시하였다.</w:t>
      </w:r>
      <w:r>
        <w:rPr>
          <w:color w:val="000000" w:themeColor="text1"/>
          <w:sz w:val="18"/>
          <w:szCs w:val="18"/>
        </w:rPr>
      </w:r>
    </w:p>
    <w:p>
      <w:pPr>
        <w:pStyle w:val="707"/>
        <w:pBdr/>
        <w:spacing w:after="80" w:before="160"/>
        <w:ind/>
        <w:jc w:val="left"/>
        <w:rPr>
          <w:color w:val="000000" w:themeColor="text1"/>
          <w:sz w:val="24"/>
          <w:szCs w:val="24"/>
        </w:rPr>
      </w:pPr>
      <w:r>
        <w:rPr>
          <w:rFonts w:ascii="맑은 고딕" w:hAnsi="맑은 고딕" w:eastAsia="맑은 고딕" w:cs="맑은 고딕"/>
          <w:b/>
          <w:bCs/>
          <w:color w:val="000000" w:themeColor="text1"/>
          <w:sz w:val="20"/>
          <w:szCs w:val="20"/>
        </w:rPr>
        <w:t xml:space="preserve">1.4 생성형 AI 기반 사회공학 대응 산업훈련 체계 (정진영·이민아, 2025)</w:t>
      </w:r>
      <w:r>
        <w:rPr>
          <w:color w:val="000000" w:themeColor="text1"/>
          <w:sz w:val="24"/>
          <w:szCs w:val="24"/>
        </w:rPr>
      </w:r>
    </w:p>
    <w:p>
      <w:pPr>
        <w:pBdr/>
        <w:spacing w:after="120" w:line="192" w:lineRule="auto"/>
        <w:ind/>
        <w:jc w:val="left"/>
        <w:rPr>
          <w:sz w:val="18"/>
          <w:szCs w:val="18"/>
        </w:rPr>
      </w:pPr>
      <w:r>
        <w:rPr>
          <w:rFonts w:ascii="맑은 고딕" w:hAnsi="맑은 고딕" w:eastAsia="맑은 고딕" w:cs="맑은 고딕"/>
          <w:sz w:val="18"/>
          <w:szCs w:val="18"/>
        </w:rPr>
        <w:t xml:space="preserve">LLM(Claude, GPT-4.1 mini)·STT(Fast-Whisper)·TTS(ElevenLabs)를 Twilio 콜봇과 결합해, CEO 사칭·기술지원 사기·내부자 회유·협력업체 위장·SMS 피싱 5종 시나리오를 실시간 음성으로 구현한 8단계 파이프라인</w:t>
      </w:r>
      <w:r>
        <w:rPr>
          <w:rFonts w:ascii="맑은 고딕" w:hAnsi="맑은 고딕" w:eastAsia="맑은 고딕" w:cs="맑은 고딕"/>
          <w:sz w:val="18"/>
          <w:szCs w:val="18"/>
        </w:rPr>
        <w:t xml:space="preserve">이 제안되었다. 500회 통화 시뮬레이션 결과 위협인지점수(TRS) 0.703, 정보유출비율(ILR) 0.123, 대응지연도(TTR) 0.048로 목표 기준선을 충족하였으며, 특히 공급업체 위장(ILR 0.362)·내부자 회유(ILR 0.276) 시나리오에서 유출 위험이 높게 나타나 친밀감을 악용한 공격에 취약함을 확인하였다. 시나리오 생성부터 실시간 대화, 평가까지 생성형 AI가 전 과정을 담당함으로써 정적 템플릿 교육의 매너리즘 문제를 해결한 사례다.</w:t>
      </w:r>
      <w:r>
        <w:rPr>
          <w:sz w:val="18"/>
          <w:szCs w:val="18"/>
        </w:rPr>
      </w:r>
    </w:p>
    <w:p>
      <w:pPr>
        <w:pStyle w:val="706"/>
        <w:pBdr/>
        <w:spacing w:after="120" w:before="260"/>
        <w:ind/>
        <w:jc w:val="left"/>
        <w:rPr>
          <w:color w:val="000000" w:themeColor="text1"/>
          <w:sz w:val="28"/>
          <w:szCs w:val="28"/>
        </w:rPr>
      </w:pPr>
      <w:r>
        <w:rPr>
          <w:rFonts w:ascii="맑은 고딕" w:hAnsi="맑은 고딕" w:eastAsia="맑은 고딕" w:cs="맑은 고딕"/>
          <w:b/>
          <w:bCs/>
          <w:color w:val="000000" w:themeColor="text1"/>
          <w:sz w:val="24"/>
          <w:szCs w:val="24"/>
        </w:rPr>
        <w:t xml:space="preserve">2. 해외의 사이버훈련 AI 기술 융합 연구 동향</w:t>
      </w:r>
      <w:r>
        <w:rPr>
          <w:color w:val="000000" w:themeColor="text1"/>
          <w:sz w:val="28"/>
          <w:szCs w:val="28"/>
        </w:rPr>
      </w:r>
    </w:p>
    <w:p>
      <w:pPr>
        <w:pStyle w:val="707"/>
        <w:pBdr/>
        <w:spacing w:after="80" w:before="160"/>
        <w:ind/>
        <w:jc w:val="left"/>
        <w:rPr>
          <w:color w:val="000000" w:themeColor="text1"/>
          <w:sz w:val="24"/>
          <w:szCs w:val="24"/>
        </w:rPr>
      </w:pPr>
      <w:r>
        <w:rPr>
          <w:rFonts w:ascii="맑은 고딕" w:hAnsi="맑은 고딕" w:eastAsia="맑은 고딕" w:cs="맑은 고딕"/>
          <w:b/>
          <w:bCs/>
          <w:color w:val="000000" w:themeColor="text1"/>
          <w:sz w:val="20"/>
          <w:szCs w:val="20"/>
        </w:rPr>
        <w:t xml:space="preserve">2.1 AI 기반 시나리오 자동 생성: ASCERT와 AiCEF (Hannay et al., 2021 / Zacharis &amp; Patsakis, 2023)</w:t>
      </w:r>
      <w:r>
        <w:rPr>
          <w:color w:val="000000" w:themeColor="text1"/>
          <w:sz w:val="24"/>
          <w:szCs w:val="24"/>
        </w:rPr>
      </w:r>
    </w:p>
    <w:p>
      <w:pPr>
        <w:pBdr/>
        <w:spacing w:after="120" w:line="192" w:lineRule="auto"/>
        <w:ind/>
        <w:jc w:val="left"/>
        <w:rPr/>
      </w:pPr>
      <w:r>
        <w:rPr>
          <w:rFonts w:ascii="맑은 고딕" w:hAnsi="맑은 고딕" w:eastAsia="맑은 고딕" w:cs="맑은 고딕"/>
          <w:sz w:val="19"/>
          <w:szCs w:val="19"/>
        </w:rPr>
        <w:t xml:space="preserve">노르웨이 사이버 레인지 연구진은 공격-방어 트리(ADTree)·정형 논증 이론·해집합 프로그래밍(ASP)·멀티에이전트 시스템(MAS)을 계층화한 ASCERT를 제안해, 실행 전 사전검증(BAR)과 실행 중 실시간 목표 재계산(DAR)으로 전략-전술-운용</w:t>
      </w:r>
      <w:r>
        <w:rPr>
          <w:rFonts w:ascii="맑은 고딕" w:hAnsi="맑은 고딕" w:eastAsia="맑은 고딕" w:cs="맑은 고딕"/>
          <w:sz w:val="19"/>
          <w:szCs w:val="19"/>
          <w:lang w:val="ko-KR"/>
        </w:rPr>
        <w:t xml:space="preserve">(TTP)</w:t>
      </w:r>
      <w:r>
        <w:rPr>
          <w:rFonts w:ascii="맑은 고딕" w:hAnsi="맑은 고딕" w:eastAsia="맑은 고딕" w:cs="맑은 고딕"/>
          <w:sz w:val="19"/>
          <w:szCs w:val="19"/>
        </w:rPr>
        <w:t xml:space="preserve"> 3계층을 아우르는 SolarWinds 공급망 공격 시나리오를 구현하였다. ENISA·피레우스대 연구진은 </w:t>
      </w:r>
      <w:r>
        <w:rPr>
          <w:rFonts w:ascii="맑은 고딕" w:hAnsi="맑은 고딕" w:eastAsia="맑은 고딕" w:cs="맑은 고딕"/>
          <w:sz w:val="19"/>
          <w:szCs w:val="19"/>
        </w:rPr>
        <w:t xml:space="preserve">개체명 인식(NER)과 GPT-2를 결합해 비구조화 보안 뉴스로부터 STIX 2.1 기반 온톨로지(CESO)를 구축하고 시나리오를 자동 생성하는 AiCEF를 제안하였다. ENISA 전문가 16인의 블라인드 평가에서, AiCEF를 활용한 미숙련 기획자의 시나리오(297점)가 AiCEF 없이 작성한 숙련 기획자의 시나리오(265점)를 상회했고, 완전 자동 생성물도 68.75%가 인간 작성물로 오인할 만큼 자연스러워 전문가 부족 문제의 보완 가능성을 입증했다.</w:t>
      </w:r>
      <w:r/>
    </w:p>
    <w:p>
      <w:pPr>
        <w:pStyle w:val="707"/>
        <w:pBdr/>
        <w:spacing w:after="80" w:before="160"/>
        <w:ind/>
        <w:jc w:val="left"/>
        <w:rPr>
          <w:color w:val="000000" w:themeColor="text1"/>
          <w:sz w:val="24"/>
          <w:szCs w:val="24"/>
        </w:rPr>
      </w:pPr>
      <w:r>
        <w:rPr>
          <w:rFonts w:ascii="맑은 고딕" w:hAnsi="맑은 고딕" w:eastAsia="맑은 고딕" w:cs="맑은 고딕"/>
          <w:b/>
          <w:bCs/>
          <w:color w:val="000000" w:themeColor="text1"/>
          <w:sz w:val="20"/>
          <w:szCs w:val="20"/>
        </w:rPr>
        <w:t xml:space="preserve">2.2 다중 에이전트 강화학습 기반 자율 공방: MARLon (Kunz et al., 2023)</w:t>
      </w:r>
      <w:r>
        <w:rPr>
          <w:color w:val="000000" w:themeColor="text1"/>
          <w:sz w:val="24"/>
          <w:szCs w:val="24"/>
        </w:rPr>
      </w:r>
    </w:p>
    <w:p>
      <w:pPr>
        <w:pBdr/>
        <w:spacing w:after="120" w:line="192" w:lineRule="auto"/>
        <w:ind/>
        <w:jc w:val="left"/>
        <w:rPr>
          <w:sz w:val="18"/>
          <w:szCs w:val="18"/>
        </w:rPr>
      </w:pPr>
      <w:r>
        <w:rPr>
          <w:rFonts w:ascii="맑은 고딕" w:hAnsi="맑은 고딕" w:eastAsia="맑은 고딕" w:cs="맑은 고딕"/>
          <w:sz w:val="18"/>
          <w:szCs w:val="18"/>
        </w:rPr>
        <w:t xml:space="preserve">CyberBattleSim이 공격자 학습만 지원하고 방어자는 정적 확률 모델에 그친다는 한계를 극복하기 위해, Defender</w:t>
      </w:r>
      <w:r>
        <w:rPr>
          <w:rFonts w:ascii="맑은 고딕" w:hAnsi="맑은 고딕" w:eastAsia="맑은 고딕" w:cs="맑은 고딕"/>
          <w:sz w:val="18"/>
          <w:szCs w:val="18"/>
        </w:rPr>
        <w:t xml:space="preserve">Wrapper로 학습 가능한 Blue Agent의 행동·관찰 공간과 제로섬 보상을 신설하고, 무효 액션에 0 보상을 부여하며 가용성 위반 시에도 에피소드를 강제 종료하지 않는 No-Reset 전략을 도입한 MARLon이 제안되었다. Red-Blue를 공동 학습(MARL)시켰을 때 Red Agent의 침투 보상이 단독 학습된 방어자 대비 더 크게 억제되었고(96.4점), 성능 신뢰구간 폭도 52.1에서 22.6으로 축소되어 방어 성능의 안정성이 입증되었다.</w:t>
      </w:r>
      <w:r>
        <w:rPr>
          <w:sz w:val="18"/>
          <w:szCs w:val="18"/>
        </w:rPr>
      </w:r>
    </w:p>
    <w:p>
      <w:pPr>
        <w:pStyle w:val="707"/>
        <w:pBdr/>
        <w:spacing w:after="80" w:before="160"/>
        <w:ind/>
        <w:jc w:val="left"/>
        <w:rPr>
          <w:color w:val="000000" w:themeColor="text1"/>
          <w:sz w:val="24"/>
          <w:szCs w:val="24"/>
        </w:rPr>
      </w:pPr>
      <w:r>
        <w:rPr>
          <w:rFonts w:ascii="맑은 고딕" w:hAnsi="맑은 고딕" w:eastAsia="맑은 고딕" w:cs="맑은 고딕"/>
          <w:b/>
          <w:bCs/>
          <w:color w:val="000000" w:themeColor="text1"/>
          <w:sz w:val="20"/>
          <w:szCs w:val="20"/>
        </w:rPr>
        <w:t xml:space="preserve">2.3 Agentic AI 기반 종단간 훈련환경 자동 생성: AgentCyTE (Rodriguez et al., 2025)</w:t>
      </w:r>
      <w:r>
        <w:rPr>
          <w:color w:val="000000" w:themeColor="text1"/>
          <w:sz w:val="24"/>
          <w:szCs w:val="24"/>
        </w:rPr>
      </w:r>
    </w:p>
    <w:p>
      <w:pPr>
        <w:pBdr/>
        <w:spacing w:after="120" w:line="192" w:lineRule="auto"/>
        <w:ind/>
        <w:jc w:val="left"/>
        <w:rPr>
          <w:sz w:val="18"/>
          <w:szCs w:val="18"/>
        </w:rPr>
      </w:pPr>
      <w:r>
        <w:rPr>
          <w:rFonts w:ascii="맑은 고딕" w:hAnsi="맑은 고딕" w:eastAsia="맑은 고딕" w:cs="맑은 고딕"/>
          <w:sz w:val="18"/>
          <w:szCs w:val="18"/>
        </w:rPr>
        <w:t xml:space="preserve">제약 없는 단일 프롬프트 LLM 생성 방식이 CORE 에뮬레이터에서 정상 구동되는 비율이 17~28%에 불과하다는 한계를 근거로, 스키마 제약 기반 명세와 </w:t>
      </w:r>
      <w:r>
        <w:rPr>
          <w:rFonts w:ascii="맑은 고딕" w:hAnsi="맑은 고딕" w:eastAsia="맑은 고딕" w:cs="맑은 고딕"/>
          <w:sz w:val="18"/>
          <w:szCs w:val="18"/>
        </w:rPr>
        <w:t xml:space="preserve">'제안-검증-가설수립-다양화-선택-학습'의 가설 기반 자율 교정 루프로 구성된 AgentCyTE가 제안되었다. 자연어 요청을 토폴로지·라우팅·트래픽·취약점(Vulhub) 명세부터 CORE 에뮬레이터 구동까지 종단간 자동화하며, 에이전틱 피드백 적용 후 성공률이 90%대 이상으로 상승하였다. 56개 노드 CTF 시나리오를 스크립트 도출 5초, 환경 구동 20초 만에 완성하여 시나리오 설계~환경 구현 전체를 Agentic AI가 담당할 수 있음을 실증하였다.</w:t>
      </w:r>
      <w:r>
        <w:rPr>
          <w:sz w:val="18"/>
          <w:szCs w:val="18"/>
        </w:rPr>
      </w:r>
    </w:p>
    <w:p>
      <w:pPr>
        <w:pStyle w:val="706"/>
        <w:pBdr/>
        <w:spacing w:after="120" w:before="260"/>
        <w:ind/>
        <w:jc w:val="left"/>
        <w:rPr>
          <w:rFonts w:ascii="맑은 고딕" w:hAnsi="맑은 고딕" w:eastAsia="맑은 고딕" w:cs="맑은 고딕"/>
          <w:b/>
          <w:bCs/>
          <w:color w:val="000000" w:themeColor="text1"/>
          <w:sz w:val="24"/>
          <w:szCs w:val="24"/>
          <w:highlight w:val="none"/>
        </w:rPr>
      </w:pPr>
      <w:r>
        <w:rPr>
          <w:rFonts w:ascii="맑은 고딕" w:hAnsi="맑은 고딕" w:eastAsia="맑은 고딕" w:cs="맑은 고딕"/>
          <w:b/>
          <w:bCs/>
          <w:color w:val="000000" w:themeColor="text1"/>
          <w:sz w:val="24"/>
          <w:szCs w:val="24"/>
        </w:rPr>
        <w:t xml:space="preserve">3. 해사 도메인의 사이버훈련 동향과 AI 융합의 현주소</w:t>
      </w:r>
      <w:r>
        <w:rPr>
          <w:color w:val="000000" w:themeColor="text1"/>
          <w:sz w:val="28"/>
          <w:szCs w:val="28"/>
        </w:rPr>
      </w:r>
    </w:p>
    <w:p w14:paraId="5BD71938">
      <w:pPr>
        <w:pStyle w:val="707"/>
        <w:pBdr/>
        <w:spacing w:after="80" w:before="160"/>
        <w:ind/>
        <w:jc w:val="left"/>
        <w:rPr>
          <w:color w:val="000000" w:themeColor="text1"/>
          <w:sz w:val="24"/>
          <w:szCs w:val="24"/>
        </w:rPr>
      </w:pPr>
      <w:r>
        <w:rPr>
          <w:rFonts w:ascii="맑은 고딕" w:hAnsi="맑은 고딕" w:eastAsia="맑은 고딕" w:cs="맑은 고딕"/>
          <w:b/>
          <w:bCs/>
          <w:color w:val="000000" w:themeColor="text1"/>
          <w:sz w:val="20"/>
          <w:szCs w:val="20"/>
        </w:rPr>
        <w:t xml:space="preserve">3.</w:t>
      </w:r>
      <w:r>
        <w:rPr>
          <w:rFonts w:ascii="맑은 고딕" w:hAnsi="맑은 고딕" w:eastAsia="맑은 고딕" w:cs="맑은 고딕"/>
          <w:b/>
          <w:bCs/>
          <w:color w:val="000000" w:themeColor="text1"/>
          <w:sz w:val="20"/>
          <w:szCs w:val="20"/>
          <w:lang w:val="ko-KR"/>
        </w:rPr>
        <w:t xml:space="preserve">1</w:t>
      </w:r>
      <w:r>
        <w:rPr>
          <w:rFonts w:ascii="맑은 고딕" w:hAnsi="맑은 고딕" w:eastAsia="맑은 고딕" w:cs="맑은 고딕"/>
          <w:b/>
          <w:bCs/>
          <w:color w:val="000000" w:themeColor="text1"/>
          <w:sz w:val="20"/>
          <w:szCs w:val="20"/>
        </w:rPr>
        <w:t xml:space="preserve"> 해사 전역(선박·항만) 사이버 레인지 아키텍처: 3계층 모델과 연합 기술 (Tam et al., 2021)</w:t>
      </w:r>
      <w:r>
        <w:rPr>
          <w:color w:val="000000" w:themeColor="text1"/>
          <w:sz w:val="24"/>
          <w:szCs w:val="24"/>
        </w:rPr>
      </w:r>
      <w:r>
        <w:rPr>
          <w:color w:val="000000" w:themeColor="text1"/>
          <w:sz w:val="24"/>
          <w:szCs w:val="24"/>
        </w:rPr>
      </w:r>
    </w:p>
    <w:p w14:paraId="57949C69">
      <w:pPr>
        <w:pBdr/>
        <w:spacing w:after="120" w:line="192" w:lineRule="auto"/>
        <w:ind/>
        <w:jc w:val="left"/>
        <w:rPr>
          <w:sz w:val="18"/>
          <w:szCs w:val="18"/>
        </w:rPr>
      </w:pPr>
      <w:r>
        <w:rPr>
          <w:rFonts w:ascii="맑은 고딕" w:hAnsi="맑은 고딕" w:eastAsia="맑은 고딕" w:cs="맑은 고딕"/>
          <w:sz w:val="18"/>
          <w:szCs w:val="18"/>
        </w:rPr>
        <w:t xml:space="preserve">플리머스대 Cyber-SHIP Lab 연</w:t>
      </w:r>
      <w:r>
        <w:rPr>
          <w:rFonts w:ascii="맑은 고딕" w:hAnsi="맑은 고딕" w:eastAsia="맑은 고딕" w:cs="맑은 고딕"/>
          <w:sz w:val="18"/>
          <w:szCs w:val="18"/>
        </w:rPr>
        <w:t xml:space="preserve">구진은 동일한 Cyber-MAR 프로젝트를 기반으로, 해양 인프라를 Digital(네트워크·통신 로그)·Physical/Layout(화물센서·이동경로)·Infrastructure(PLC·전력망·추진장치) 3개 계층으로 추상화하는 아키텍처를 제시하였다. 단일 물리 공간의 한계를 극복하기 위해 3개 지역 테스트베드를 VPN으로 연합(Federation)하고 그중 1개는 포터블 노드로 설계해 현장 이동성을 확보했으며, Stub·Fuzzing·Simulation</w:t>
      </w:r>
      <w:r>
        <w:rPr>
          <w:rFonts w:ascii="맑은 고딕" w:hAnsi="맑은 고딕" w:eastAsia="맑은 고딕" w:cs="맑은 고딕"/>
          <w:sz w:val="18"/>
          <w:szCs w:val="18"/>
        </w:rPr>
        <w:t xml:space="preserve">·Replay 4가지 모사 전략을 현실성</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확장성</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저장공간의 트레이드오프에 따라 혼용하였다. 보안 전문가에게는 로그·SIEM 기반 정밀 평가를, 해기사에게는 비상조치 성공 여부에 따른 Flag 기반 평가를 적용하는 역할별 평가체계를 마련하였다. 사전 설문에서 응답자의 60.7%가 사이버 보안 교육 경험이 전무했고 75%가 해양 특화 교육의 필요성에 공감했으며, 74.6%는 교육 표준의 부재를 문제로 지적해 해사 특화 훈련 체계 구축의 시급성을 뒷받침하였다.</w:t>
      </w:r>
      <w:r>
        <w:rPr>
          <w:rFonts w:ascii="맑은 고딕" w:hAnsi="맑은 고딕" w:eastAsia="맑은 고딕" w:cs="맑은 고딕"/>
          <w:b/>
          <w:bCs/>
          <w:color w:val="1f3864"/>
          <w:sz w:val="24"/>
          <w:szCs w:val="24"/>
          <w:highlight w:val="none"/>
        </w:rPr>
      </w:r>
      <w:r>
        <w:rPr>
          <w:sz w:val="18"/>
          <w:szCs w:val="18"/>
        </w:rPr>
      </w:r>
    </w:p>
    <w:p>
      <w:pPr>
        <w:pStyle w:val="707"/>
        <w:pBdr/>
        <w:spacing w:after="80" w:before="160"/>
        <w:ind/>
        <w:jc w:val="left"/>
        <w:rPr>
          <w:color w:val="000000" w:themeColor="text1"/>
          <w:sz w:val="24"/>
          <w:szCs w:val="24"/>
        </w:rPr>
      </w:pPr>
      <w:r>
        <w:rPr>
          <w:rFonts w:ascii="맑은 고딕" w:hAnsi="맑은 고딕" w:eastAsia="맑은 고딕" w:cs="맑은 고딕"/>
          <w:b/>
          <w:bCs/>
          <w:color w:val="000000" w:themeColor="text1"/>
          <w:sz w:val="20"/>
          <w:szCs w:val="20"/>
        </w:rPr>
        <w:t xml:space="preserve">3.</w:t>
      </w:r>
      <w:r>
        <w:rPr>
          <w:rFonts w:ascii="맑은 고딕" w:hAnsi="맑은 고딕" w:eastAsia="맑은 고딕" w:cs="맑은 고딕"/>
          <w:b/>
          <w:bCs/>
          <w:color w:val="000000" w:themeColor="text1"/>
          <w:sz w:val="20"/>
          <w:szCs w:val="20"/>
          <w:lang w:val="ko-KR"/>
        </w:rPr>
        <w:t xml:space="preserve">2</w:t>
      </w:r>
      <w:r>
        <w:rPr>
          <w:rFonts w:ascii="맑은 고딕" w:hAnsi="맑은 고딕" w:eastAsia="맑은 고딕" w:cs="맑은 고딕"/>
          <w:b/>
          <w:bCs/>
          <w:color w:val="000000" w:themeColor="text1"/>
          <w:sz w:val="20"/>
          <w:szCs w:val="20"/>
        </w:rPr>
        <w:t xml:space="preserve"> 항만 전력망 대상 하이브리드 사이버 레인지 파일럿: Cyber-MAR (Jacq et al., 2021)</w:t>
      </w:r>
      <w:r>
        <w:rPr>
          <w:color w:val="000000" w:themeColor="text1"/>
          <w:sz w:val="24"/>
          <w:szCs w:val="24"/>
        </w:rPr>
      </w:r>
    </w:p>
    <w:p>
      <w:pPr>
        <w:pBdr/>
        <w:spacing w:after="120" w:line="192" w:lineRule="auto"/>
        <w:ind/>
        <w:jc w:val="left"/>
        <w:rPr>
          <w:sz w:val="18"/>
          <w:szCs w:val="18"/>
        </w:rPr>
      </w:pPr>
      <w:r>
        <w:rPr>
          <w:rFonts w:ascii="맑은 고딕" w:hAnsi="맑은 고딕" w:eastAsia="맑은 고딕" w:cs="맑은 고딕"/>
          <w:sz w:val="18"/>
          <w:szCs w:val="18"/>
        </w:rPr>
        <w:t xml:space="preserve">EU Horizon 2020 Cyber-MAR 프로젝트(2019.9~2022.8)는 실제 물리 PLC와 가상화 IT 네트워크를 결합한 하이브리드 사이버 레인지를 Shi</w:t>
      </w:r>
      <w:r>
        <w:rPr>
          <w:rFonts w:ascii="맑은 고딕" w:hAnsi="맑은 고딕" w:eastAsia="맑은 고딕" w:cs="맑은 고딕"/>
          <w:sz w:val="18"/>
          <w:szCs w:val="18"/>
        </w:rPr>
        <w:t xml:space="preserve">p Simulation</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Cyber Range·Network</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 Monitoring·Security(SIEM/ADS)</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CERT(MISP)</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Recommendation(VLMM)</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Training(LMS)</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Risk Modelling(MaCRA)</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Econometric의 9개 계층으로 구축하고, 항만 자산을 핵심물류자산(CMLCA)과 이를 지지하는 2차 자산(SMLCA)으로 구분하였다. 발렌시아 항만을 대상으로 스피어피싱</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ZeroLogon 권한 상승</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AD 랜섬웨어 전파</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Modbus 기반 PLC 제어권 탈취</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w:t>
      </w:r>
      <w:r>
        <w:rPr>
          <w:rFonts w:ascii="맑은 고딕" w:hAnsi="맑은 고딕" w:eastAsia="맑은 고딕" w:cs="맑은 고딕"/>
          <w:sz w:val="18"/>
          <w:szCs w:val="18"/>
          <w:lang w:val="ko-KR"/>
        </w:rPr>
        <w:t xml:space="preserve"> </w:t>
      </w:r>
      <w:r>
        <w:rPr>
          <w:rFonts w:ascii="맑은 고딕" w:hAnsi="맑은 고딕" w:eastAsia="맑은 고딕" w:cs="맑은 고딕"/>
          <w:sz w:val="18"/>
          <w:szCs w:val="18"/>
        </w:rPr>
        <w:t xml:space="preserve">실물 PLC 정지·항만 정전에 이르는 킬체인을 실증하여, 570,000개 이상 패킷 분석과 10개 탐지 서명 100% 탐지율, 500개 이상 해양 IoC를 확보하였다. 다운타임을 공급망 하류 손실로 환산하는 계량경제학적 손실 모델(Econometric/CBI)로 사이버 공격의 재무적 파급력까지 정량화한 점이 특징이나, AI의 역할은 SIEM 이상탐지(ADS)와 VLMM 기반 다음 공격 예측 등 일부 계층에 한정된다.</w:t>
      </w:r>
      <w:r>
        <w:rPr>
          <w:sz w:val="18"/>
          <w:szCs w:val="18"/>
        </w:rPr>
      </w:r>
    </w:p>
    <w:p>
      <w:pPr>
        <w:pStyle w:val="706"/>
        <w:pBdr/>
        <w:spacing w:after="120" w:before="260"/>
        <w:ind/>
        <w:jc w:val="left"/>
        <w:rPr>
          <w:color w:val="000000" w:themeColor="text1"/>
          <w:sz w:val="28"/>
          <w:szCs w:val="28"/>
        </w:rPr>
      </w:pPr>
      <w:r>
        <w:rPr>
          <w:rFonts w:ascii="맑은 고딕" w:hAnsi="맑은 고딕" w:eastAsia="맑은 고딕" w:cs="맑은 고딕"/>
          <w:b/>
          <w:bCs/>
          <w:color w:val="000000" w:themeColor="text1"/>
          <w:sz w:val="24"/>
          <w:szCs w:val="24"/>
        </w:rPr>
        <w:t xml:space="preserve">4. 사이버훈련과 AI 기술 융합의 방향성</w:t>
      </w:r>
      <w:r>
        <w:rPr>
          <w:color w:val="000000" w:themeColor="text1"/>
          <w:sz w:val="28"/>
          <w:szCs w:val="28"/>
        </w:rPr>
      </w:r>
    </w:p>
    <w:p>
      <w:pPr>
        <w:pBdr/>
        <w:spacing w:after="120" w:line="264" w:lineRule="auto"/>
        <w:ind/>
        <w:jc w:val="left"/>
        <w:rPr>
          <w:sz w:val="18"/>
          <w:szCs w:val="18"/>
        </w:rPr>
      </w:pPr>
      <w:r>
        <w:rPr>
          <w:rFonts w:ascii="맑은 고딕" w:hAnsi="맑은 고딕" w:eastAsia="맑은 고딕" w:cs="맑은 고딕"/>
          <w:sz w:val="18"/>
          <w:szCs w:val="18"/>
        </w:rPr>
        <w:t xml:space="preserve">지금까지 검토한 9건의 연구를 핵심 AI 기술과 한계 중심으로 비교하면 다음과 같다.</w:t>
      </w:r>
      <w:r>
        <w:rPr>
          <w:sz w:val="18"/>
          <w:szCs w:val="18"/>
        </w:rPr>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1900"/>
        <w:gridCol w:w="2100"/>
        <w:gridCol w:w="2300"/>
        <w:gridCol w:w="2200"/>
      </w:tblGrid>
      <w:tr>
        <w:trPr>
          <w:tblHeader/>
        </w:trPr>
        <w:tc>
          <w:tcPr>
            <w:shd w:val="clear" w:color="auto" w:fill="dce6f1"/>
            <w:tcBorders/>
            <w:tcMar>
              <w:left w:w="80" w:type="dxa"/>
              <w:top w:w="50" w:type="dxa"/>
              <w:right w:w="80" w:type="dxa"/>
              <w:bottom w:w="50" w:type="dxa"/>
            </w:tcMar>
            <w:tcW w:w="1500" w:type="dxa"/>
          </w:tcPr>
          <w:p>
            <w:pPr>
              <w:pBdr/>
              <w:spacing/>
              <w:ind/>
              <w:jc w:val="left"/>
              <w:rPr/>
            </w:pPr>
            <w:r>
              <w:rPr>
                <w:rFonts w:ascii="맑은 고딕" w:hAnsi="맑은 고딕" w:eastAsia="맑은 고딕" w:cs="맑은 고딕"/>
                <w:b/>
                <w:bCs/>
                <w:sz w:val="16"/>
                <w:szCs w:val="16"/>
              </w:rPr>
              <w:t xml:space="preserve">구분</w:t>
            </w:r>
            <w:r/>
          </w:p>
        </w:tc>
        <w:tc>
          <w:tcPr>
            <w:shd w:val="clear" w:color="auto" w:fill="dce6f1"/>
            <w:tcBorders/>
            <w:tcMar>
              <w:left w:w="80" w:type="dxa"/>
              <w:top w:w="50" w:type="dxa"/>
              <w:right w:w="80" w:type="dxa"/>
              <w:bottom w:w="50" w:type="dxa"/>
            </w:tcMar>
            <w:tcW w:w="1900" w:type="dxa"/>
          </w:tcPr>
          <w:p>
            <w:pPr>
              <w:pBdr/>
              <w:spacing/>
              <w:ind/>
              <w:jc w:val="left"/>
              <w:rPr/>
            </w:pPr>
            <w:r>
              <w:rPr>
                <w:rFonts w:ascii="맑은 고딕" w:hAnsi="맑은 고딕" w:eastAsia="맑은 고딕" w:cs="맑은 고딕"/>
                <w:b/>
                <w:bCs/>
                <w:sz w:val="16"/>
                <w:szCs w:val="16"/>
              </w:rPr>
              <w:t xml:space="preserve">대표 연구·사례</w:t>
            </w:r>
            <w:r/>
          </w:p>
        </w:tc>
        <w:tc>
          <w:tcPr>
            <w:shd w:val="clear" w:color="auto" w:fill="dce6f1"/>
            <w:tcBorders/>
            <w:tcMar>
              <w:left w:w="80" w:type="dxa"/>
              <w:top w:w="50" w:type="dxa"/>
              <w:right w:w="80" w:type="dxa"/>
              <w:bottom w:w="50" w:type="dxa"/>
            </w:tcMar>
            <w:tcW w:w="2100" w:type="dxa"/>
          </w:tcPr>
          <w:p>
            <w:pPr>
              <w:pBdr/>
              <w:spacing/>
              <w:ind/>
              <w:jc w:val="left"/>
              <w:rPr/>
            </w:pPr>
            <w:r>
              <w:rPr>
                <w:rFonts w:ascii="맑은 고딕" w:hAnsi="맑은 고딕" w:eastAsia="맑은 고딕" w:cs="맑은 고딕"/>
                <w:b/>
                <w:bCs/>
                <w:sz w:val="16"/>
                <w:szCs w:val="16"/>
              </w:rPr>
              <w:t xml:space="preserve">핵심 AI 기술</w:t>
            </w:r>
            <w:r/>
          </w:p>
        </w:tc>
        <w:tc>
          <w:tcPr>
            <w:shd w:val="clear" w:color="auto" w:fill="dce6f1"/>
            <w:tcBorders/>
            <w:tcMar>
              <w:left w:w="80" w:type="dxa"/>
              <w:top w:w="50" w:type="dxa"/>
              <w:right w:w="80" w:type="dxa"/>
              <w:bottom w:w="50" w:type="dxa"/>
            </w:tcMar>
            <w:tcW w:w="2300" w:type="dxa"/>
          </w:tcPr>
          <w:p>
            <w:pPr>
              <w:pBdr/>
              <w:spacing/>
              <w:ind/>
              <w:jc w:val="left"/>
              <w:rPr/>
            </w:pPr>
            <w:r>
              <w:rPr>
                <w:rFonts w:ascii="맑은 고딕" w:hAnsi="맑은 고딕" w:eastAsia="맑은 고딕" w:cs="맑은 고딕"/>
                <w:b/>
                <w:bCs/>
                <w:sz w:val="16"/>
                <w:szCs w:val="16"/>
              </w:rPr>
              <w:t xml:space="preserve">주요 한계</w:t>
            </w:r>
            <w:r/>
          </w:p>
        </w:tc>
        <w:tc>
          <w:tcPr>
            <w:shd w:val="clear" w:color="auto" w:fill="dce6f1"/>
            <w:tcBorders/>
            <w:tcMar>
              <w:left w:w="80" w:type="dxa"/>
              <w:top w:w="50" w:type="dxa"/>
              <w:right w:w="80" w:type="dxa"/>
              <w:bottom w:w="50" w:type="dxa"/>
            </w:tcMar>
            <w:tcW w:w="2200" w:type="dxa"/>
          </w:tcPr>
          <w:p>
            <w:pPr>
              <w:pBdr/>
              <w:spacing/>
              <w:ind/>
              <w:jc w:val="left"/>
              <w:rPr/>
            </w:pPr>
            <w:r>
              <w:rPr>
                <w:rFonts w:ascii="맑은 고딕" w:hAnsi="맑은 고딕" w:eastAsia="맑은 고딕" w:cs="맑은 고딕"/>
                <w:b/>
                <w:bCs/>
                <w:sz w:val="16"/>
                <w:szCs w:val="16"/>
              </w:rPr>
              <w:t xml:space="preserve">시사점</w:t>
            </w:r>
            <w:r/>
          </w:p>
        </w:tc>
      </w:tr>
      <w:tr>
        <w:trPr/>
        <w:tc>
          <w:tcPr>
            <w:tcBorders/>
            <w:tcMar>
              <w:left w:w="80" w:type="dxa"/>
              <w:top w:w="50" w:type="dxa"/>
              <w:right w:w="80" w:type="dxa"/>
              <w:bottom w:w="50" w:type="dxa"/>
            </w:tcMar>
            <w:tcW w:w="1500" w:type="dxa"/>
          </w:tcPr>
          <w:p>
            <w:pPr>
              <w:pBdr/>
              <w:spacing w:line="192" w:lineRule="auto"/>
              <w:ind/>
              <w:jc w:val="left"/>
              <w:rPr/>
            </w:pPr>
            <w:r>
              <w:rPr>
                <w:rFonts w:ascii="맑은 고딕" w:hAnsi="맑은 고딕" w:eastAsia="맑은 고딕" w:cs="맑은 고딕"/>
                <w:b w:val="0"/>
                <w:bCs w:val="0"/>
                <w:sz w:val="16"/>
                <w:szCs w:val="16"/>
              </w:rPr>
              <w:t xml:space="preserve">한국(시나리오 생성)</w:t>
            </w:r>
            <w:r/>
          </w:p>
        </w:tc>
        <w:tc>
          <w:tcPr>
            <w:tcBorders/>
            <w:tcMar>
              <w:left w:w="80" w:type="dxa"/>
              <w:top w:w="50" w:type="dxa"/>
              <w:right w:w="80" w:type="dxa"/>
              <w:bottom w:w="50" w:type="dxa"/>
            </w:tcMar>
            <w:tcW w:w="1900" w:type="dxa"/>
          </w:tcPr>
          <w:p>
            <w:pPr>
              <w:pBdr/>
              <w:spacing w:line="192" w:lineRule="auto"/>
              <w:ind/>
              <w:jc w:val="left"/>
              <w:rPr/>
            </w:pPr>
            <w:r>
              <w:rPr>
                <w:rFonts w:ascii="맑은 고딕" w:hAnsi="맑은 고딕" w:eastAsia="맑은 고딕" w:cs="맑은 고딕"/>
                <w:b w:val="0"/>
                <w:bCs w:val="0"/>
                <w:sz w:val="16"/>
                <w:szCs w:val="16"/>
              </w:rPr>
              <w:t xml:space="preserve">퍼지규칙 시스템
(남수만, 2020)</w:t>
            </w:r>
            <w:r/>
          </w:p>
        </w:tc>
        <w:tc>
          <w:tcPr>
            <w:tcBorders/>
            <w:tcMar>
              <w:left w:w="80" w:type="dxa"/>
              <w:top w:w="50" w:type="dxa"/>
              <w:right w:w="80" w:type="dxa"/>
              <w:bottom w:w="50" w:type="dxa"/>
            </w:tcMar>
            <w:tcW w:w="2100" w:type="dxa"/>
          </w:tcPr>
          <w:p>
            <w:pPr>
              <w:pBdr/>
              <w:spacing w:line="192" w:lineRule="auto"/>
              <w:ind/>
              <w:jc w:val="left"/>
              <w:rPr/>
            </w:pPr>
            <w:r>
              <w:rPr>
                <w:rFonts w:ascii="맑은 고딕" w:hAnsi="맑은 고딕" w:eastAsia="맑은 고딕" w:cs="맑은 고딕"/>
                <w:b w:val="0"/>
                <w:bCs w:val="0"/>
                <w:sz w:val="16"/>
                <w:szCs w:val="16"/>
              </w:rPr>
              <w:t xml:space="preserve">Random Forest + Fuzzy Inference</w:t>
            </w:r>
            <w:r/>
          </w:p>
        </w:tc>
        <w:tc>
          <w:tcPr>
            <w:tcBorders/>
            <w:tcMar>
              <w:left w:w="80" w:type="dxa"/>
              <w:top w:w="50" w:type="dxa"/>
              <w:right w:w="80" w:type="dxa"/>
              <w:bottom w:w="50" w:type="dxa"/>
            </w:tcMar>
            <w:tcW w:w="2300" w:type="dxa"/>
          </w:tcPr>
          <w:p>
            <w:pPr>
              <w:pBdr/>
              <w:spacing w:line="192" w:lineRule="auto"/>
              <w:ind/>
              <w:jc w:val="left"/>
              <w:rPr/>
            </w:pPr>
            <w:r>
              <w:rPr>
                <w:rFonts w:ascii="맑은 고딕" w:hAnsi="맑은 고딕" w:eastAsia="맑은 고딕" w:cs="맑은 고딕"/>
                <w:b w:val="0"/>
                <w:bCs w:val="0"/>
                <w:sz w:val="16"/>
                <w:szCs w:val="16"/>
              </w:rPr>
              <w:t xml:space="preserve">사전 정의된 콘텐츠 풀 내 조합·재배열에 국한</w:t>
            </w:r>
            <w:r/>
          </w:p>
        </w:tc>
        <w:tc>
          <w:tcPr>
            <w:tcBorders/>
            <w:tcMar>
              <w:left w:w="80" w:type="dxa"/>
              <w:top w:w="50" w:type="dxa"/>
              <w:right w:w="80" w:type="dxa"/>
              <w:bottom w:w="50" w:type="dxa"/>
            </w:tcMar>
            <w:tcW w:w="2200" w:type="dxa"/>
          </w:tcPr>
          <w:p>
            <w:pPr>
              <w:pBdr/>
              <w:spacing w:line="192" w:lineRule="auto"/>
              <w:ind/>
              <w:jc w:val="left"/>
              <w:rPr/>
            </w:pPr>
            <w:r>
              <w:rPr>
                <w:rFonts w:ascii="맑은 고딕" w:hAnsi="맑은 고딕" w:eastAsia="맑은 고딕" w:cs="맑은 고딕"/>
                <w:b w:val="0"/>
                <w:bCs w:val="0"/>
                <w:sz w:val="16"/>
                <w:szCs w:val="16"/>
              </w:rPr>
              <w:t xml:space="preserve">학습자 맞춤형 시나리오 설계 방향 제시</w:t>
            </w:r>
            <w:r/>
          </w:p>
        </w:tc>
      </w:tr>
      <w:tr>
        <w:trPr/>
        <w:tc>
          <w:tcPr>
            <w:tcBorders/>
            <w:tcMar>
              <w:left w:w="80" w:type="dxa"/>
              <w:top w:w="50" w:type="dxa"/>
              <w:right w:w="80" w:type="dxa"/>
              <w:bottom w:w="50" w:type="dxa"/>
            </w:tcMar>
            <w:tcW w:w="1500" w:type="dxa"/>
          </w:tcPr>
          <w:p>
            <w:pPr>
              <w:pBdr/>
              <w:spacing w:line="192" w:lineRule="auto"/>
              <w:ind/>
              <w:jc w:val="left"/>
              <w:rPr/>
            </w:pPr>
            <w:r>
              <w:rPr>
                <w:rFonts w:ascii="맑은 고딕" w:hAnsi="맑은 고딕" w:eastAsia="맑은 고딕" w:cs="맑은 고딕"/>
                <w:b w:val="0"/>
                <w:bCs w:val="0"/>
                <w:sz w:val="16"/>
                <w:szCs w:val="16"/>
              </w:rPr>
              <w:t xml:space="preserve">한국(위협 실행)</w:t>
            </w:r>
            <w:r/>
          </w:p>
        </w:tc>
        <w:tc>
          <w:tcPr>
            <w:tcBorders/>
            <w:tcMar>
              <w:left w:w="80" w:type="dxa"/>
              <w:top w:w="50" w:type="dxa"/>
              <w:right w:w="80" w:type="dxa"/>
              <w:bottom w:w="50" w:type="dxa"/>
            </w:tcMar>
            <w:tcW w:w="1900" w:type="dxa"/>
          </w:tcPr>
          <w:p>
            <w:pPr>
              <w:pBdr/>
              <w:spacing w:line="192" w:lineRule="auto"/>
              <w:ind/>
              <w:jc w:val="left"/>
              <w:rPr/>
            </w:pPr>
            <w:r>
              <w:rPr>
                <w:rFonts w:ascii="맑은 고딕" w:hAnsi="맑은 고딕" w:eastAsia="맑은 고딕" w:cs="맑은 고딕"/>
                <w:b w:val="0"/>
                <w:bCs w:val="0"/>
                <w:sz w:val="16"/>
                <w:szCs w:val="16"/>
              </w:rPr>
              <w:t xml:space="preserve">CyTEA
(김동화 외, 2020)</w:t>
            </w:r>
            <w:r/>
          </w:p>
        </w:tc>
        <w:tc>
          <w:tcPr>
            <w:tcBorders/>
            <w:tcMar>
              <w:left w:w="80" w:type="dxa"/>
              <w:top w:w="50" w:type="dxa"/>
              <w:right w:w="80" w:type="dxa"/>
              <w:bottom w:w="50" w:type="dxa"/>
            </w:tcMar>
            <w:tcW w:w="2100" w:type="dxa"/>
          </w:tcPr>
          <w:p>
            <w:pPr>
              <w:pBdr/>
              <w:spacing w:line="192" w:lineRule="auto"/>
              <w:ind/>
              <w:jc w:val="left"/>
              <w:rPr/>
            </w:pPr>
            <w:r>
              <w:rPr>
                <w:rFonts w:ascii="맑은 고딕" w:hAnsi="맑은 고딕" w:eastAsia="맑은 고딕" w:cs="맑은 고딕"/>
                <w:b w:val="0"/>
                <w:bCs w:val="0"/>
                <w:sz w:val="16"/>
                <w:szCs w:val="16"/>
              </w:rPr>
              <w:t xml:space="preserve">ATT&amp;CK 기반 상태 천이 자동화</w:t>
            </w:r>
            <w:r/>
          </w:p>
        </w:tc>
        <w:tc>
          <w:tcPr>
            <w:tcBorders/>
            <w:tcMar>
              <w:left w:w="80" w:type="dxa"/>
              <w:top w:w="50" w:type="dxa"/>
              <w:right w:w="80" w:type="dxa"/>
              <w:bottom w:w="50" w:type="dxa"/>
            </w:tcMar>
            <w:tcW w:w="2300" w:type="dxa"/>
          </w:tcPr>
          <w:p>
            <w:pPr>
              <w:pBdr/>
              <w:spacing w:line="192" w:lineRule="auto"/>
              <w:ind/>
              <w:jc w:val="left"/>
              <w:rPr/>
            </w:pPr>
            <w:r>
              <w:rPr>
                <w:rFonts w:ascii="맑은 고딕" w:hAnsi="맑은 고딕" w:eastAsia="맑은 고딕" w:cs="맑은 고딕"/>
                <w:b w:val="0"/>
                <w:bCs w:val="0"/>
                <w:sz w:val="16"/>
                <w:szCs w:val="16"/>
              </w:rPr>
              <w:t xml:space="preserve">저장된 시나리오를 자동 실행하는 비적응형 수준</w:t>
            </w:r>
            <w:r/>
          </w:p>
        </w:tc>
        <w:tc>
          <w:tcPr>
            <w:tcBorders/>
            <w:tcMar>
              <w:left w:w="80" w:type="dxa"/>
              <w:top w:w="50" w:type="dxa"/>
              <w:right w:w="80" w:type="dxa"/>
              <w:bottom w:w="50" w:type="dxa"/>
            </w:tcMar>
            <w:tcW w:w="2200" w:type="dxa"/>
          </w:tcPr>
          <w:p>
            <w:pPr>
              <w:pBdr/>
              <w:spacing w:line="192" w:lineRule="auto"/>
              <w:ind/>
              <w:jc w:val="left"/>
              <w:rPr/>
            </w:pPr>
            <w:r>
              <w:rPr>
                <w:rFonts w:ascii="맑은 고딕" w:hAnsi="맑은 고딕" w:eastAsia="맑은 고딕" w:cs="맑은 고딕"/>
                <w:b w:val="0"/>
                <w:bCs w:val="0"/>
                <w:sz w:val="16"/>
                <w:szCs w:val="16"/>
              </w:rPr>
              <w:t xml:space="preserve">방어 수준별 동적 대응 검증 가능성 확인</w:t>
            </w:r>
            <w:r/>
          </w:p>
        </w:tc>
      </w:tr>
      <w:tr>
        <w:trPr/>
        <w:tc>
          <w:tcPr>
            <w:tcBorders/>
            <w:tcMar>
              <w:left w:w="80" w:type="dxa"/>
              <w:top w:w="50" w:type="dxa"/>
              <w:right w:w="80" w:type="dxa"/>
              <w:bottom w:w="50" w:type="dxa"/>
            </w:tcMar>
            <w:tcW w:w="1500" w:type="dxa"/>
          </w:tcPr>
          <w:p>
            <w:pPr>
              <w:pBdr/>
              <w:spacing w:line="192" w:lineRule="auto"/>
              <w:ind/>
              <w:jc w:val="left"/>
              <w:rPr/>
            </w:pPr>
            <w:r>
              <w:rPr>
                <w:rFonts w:ascii="맑은 고딕" w:hAnsi="맑은 고딕" w:eastAsia="맑은 고딕" w:cs="맑은 고딕"/>
                <w:b w:val="0"/>
                <w:bCs w:val="0"/>
                <w:sz w:val="16"/>
                <w:szCs w:val="16"/>
              </w:rPr>
              <w:t xml:space="preserve">한국(자율 공방)</w:t>
            </w:r>
            <w:r/>
          </w:p>
        </w:tc>
        <w:tc>
          <w:tcPr>
            <w:tcBorders/>
            <w:tcMar>
              <w:left w:w="80" w:type="dxa"/>
              <w:top w:w="50" w:type="dxa"/>
              <w:right w:w="80" w:type="dxa"/>
              <w:bottom w:w="50" w:type="dxa"/>
            </w:tcMar>
            <w:tcW w:w="1900" w:type="dxa"/>
          </w:tcPr>
          <w:p>
            <w:pPr>
              <w:pBdr/>
              <w:spacing w:line="192" w:lineRule="auto"/>
              <w:ind/>
              <w:jc w:val="left"/>
              <w:rPr/>
            </w:pPr>
            <w:r>
              <w:rPr>
                <w:rFonts w:ascii="맑은 고딕" w:hAnsi="맑은 고딕" w:eastAsia="맑은 고딕" w:cs="맑은 고딕"/>
                <w:b w:val="0"/>
                <w:bCs w:val="0"/>
                <w:sz w:val="16"/>
                <w:szCs w:val="16"/>
              </w:rPr>
              <w:t xml:space="preserve">RL 동향 분석
(김범석 외, 2026)</w:t>
            </w:r>
            <w:r/>
          </w:p>
        </w:tc>
        <w:tc>
          <w:tcPr>
            <w:tcBorders/>
            <w:tcMar>
              <w:left w:w="80" w:type="dxa"/>
              <w:top w:w="50" w:type="dxa"/>
              <w:right w:w="80" w:type="dxa"/>
              <w:bottom w:w="50" w:type="dxa"/>
            </w:tcMar>
            <w:tcW w:w="2100" w:type="dxa"/>
          </w:tcPr>
          <w:p>
            <w:pPr>
              <w:pBdr/>
              <w:spacing w:line="192" w:lineRule="auto"/>
              <w:ind/>
              <w:jc w:val="left"/>
              <w:rPr/>
            </w:pPr>
            <w:r>
              <w:rPr>
                <w:rFonts w:ascii="맑은 고딕" w:hAnsi="맑은 고딕" w:eastAsia="맑은 고딕" w:cs="맑은 고딕"/>
                <w:b w:val="0"/>
                <w:bCs w:val="0"/>
                <w:sz w:val="16"/>
                <w:szCs w:val="16"/>
              </w:rPr>
              <w:t xml:space="preserve">강화학습(NASim~GAP 계열)</w:t>
            </w:r>
            <w:r/>
          </w:p>
        </w:tc>
        <w:tc>
          <w:tcPr>
            <w:tcBorders/>
            <w:tcMar>
              <w:left w:w="80" w:type="dxa"/>
              <w:top w:w="50" w:type="dxa"/>
              <w:right w:w="80" w:type="dxa"/>
              <w:bottom w:w="50" w:type="dxa"/>
            </w:tcMar>
            <w:tcW w:w="2300" w:type="dxa"/>
          </w:tcPr>
          <w:p>
            <w:pPr>
              <w:pBdr/>
              <w:spacing w:line="192" w:lineRule="auto"/>
              <w:ind/>
              <w:jc w:val="left"/>
              <w:rPr/>
            </w:pPr>
            <w:r>
              <w:rPr>
                <w:rFonts w:ascii="맑은 고딕" w:hAnsi="맑은 고딕" w:eastAsia="맑은 고딕" w:cs="맑은 고딕"/>
                <w:b w:val="0"/>
                <w:bCs w:val="0"/>
                <w:sz w:val="16"/>
                <w:szCs w:val="16"/>
              </w:rPr>
              <w:t xml:space="preserve">국내 실증 사례 부재, 해외 사례 비교·방향 제시 수준</w:t>
            </w:r>
            <w:r/>
          </w:p>
        </w:tc>
        <w:tc>
          <w:tcPr>
            <w:tcBorders/>
            <w:tcMar>
              <w:left w:w="80" w:type="dxa"/>
              <w:top w:w="50" w:type="dxa"/>
              <w:right w:w="80" w:type="dxa"/>
              <w:bottom w:w="50" w:type="dxa"/>
            </w:tcMar>
            <w:tcW w:w="2200" w:type="dxa"/>
          </w:tcPr>
          <w:p>
            <w:pPr>
              <w:pBdr/>
              <w:spacing w:line="192" w:lineRule="auto"/>
              <w:ind/>
              <w:jc w:val="left"/>
              <w:rPr/>
            </w:pPr>
            <w:r>
              <w:rPr>
                <w:rFonts w:ascii="맑은 고딕" w:hAnsi="맑은 고딕" w:eastAsia="맑은 고딕" w:cs="맑은 고딕"/>
                <w:b w:val="0"/>
                <w:bCs w:val="0"/>
                <w:sz w:val="16"/>
                <w:szCs w:val="16"/>
              </w:rPr>
              <w:t xml:space="preserve">지능형 레드팀 에이전트 배치 가능성 제시</w:t>
            </w:r>
            <w:r/>
          </w:p>
        </w:tc>
      </w:tr>
      <w:tr>
        <w:trPr/>
        <w:tc>
          <w:tcPr>
            <w:tcBorders/>
            <w:tcMar>
              <w:left w:w="80" w:type="dxa"/>
              <w:top w:w="50" w:type="dxa"/>
              <w:right w:w="80" w:type="dxa"/>
              <w:bottom w:w="50" w:type="dxa"/>
            </w:tcMar>
            <w:tcW w:w="1500" w:type="dxa"/>
          </w:tcPr>
          <w:p>
            <w:pPr>
              <w:pBdr/>
              <w:spacing w:line="192" w:lineRule="auto"/>
              <w:ind/>
              <w:jc w:val="left"/>
              <w:rPr/>
            </w:pPr>
            <w:r>
              <w:rPr>
                <w:rFonts w:ascii="맑은 고딕" w:hAnsi="맑은 고딕" w:eastAsia="맑은 고딕" w:cs="맑은 고딕"/>
                <w:b w:val="0"/>
                <w:bCs w:val="0"/>
                <w:sz w:val="16"/>
                <w:szCs w:val="16"/>
              </w:rPr>
              <w:t xml:space="preserve">한국(사회공학)</w:t>
            </w:r>
            <w:r/>
          </w:p>
        </w:tc>
        <w:tc>
          <w:tcPr>
            <w:tcBorders/>
            <w:tcMar>
              <w:left w:w="80" w:type="dxa"/>
              <w:top w:w="50" w:type="dxa"/>
              <w:right w:w="80" w:type="dxa"/>
              <w:bottom w:w="50" w:type="dxa"/>
            </w:tcMar>
            <w:tcW w:w="1900" w:type="dxa"/>
          </w:tcPr>
          <w:p>
            <w:pPr>
              <w:pBdr/>
              <w:spacing w:line="192" w:lineRule="auto"/>
              <w:ind/>
              <w:jc w:val="left"/>
              <w:rPr/>
            </w:pPr>
            <w:r>
              <w:rPr>
                <w:rFonts w:ascii="맑은 고딕" w:hAnsi="맑은 고딕" w:eastAsia="맑은 고딕" w:cs="맑은 고딕"/>
                <w:b w:val="0"/>
                <w:bCs w:val="0"/>
                <w:sz w:val="16"/>
                <w:szCs w:val="16"/>
              </w:rPr>
              <w:t xml:space="preserve">생성형 AI 콜봇
(정진영·이민아, 2025)</w:t>
            </w:r>
            <w:r/>
          </w:p>
        </w:tc>
        <w:tc>
          <w:tcPr>
            <w:tcBorders/>
            <w:tcMar>
              <w:left w:w="80" w:type="dxa"/>
              <w:top w:w="50" w:type="dxa"/>
              <w:right w:w="80" w:type="dxa"/>
              <w:bottom w:w="50" w:type="dxa"/>
            </w:tcMar>
            <w:tcW w:w="2100" w:type="dxa"/>
          </w:tcPr>
          <w:p>
            <w:pPr>
              <w:pBdr/>
              <w:spacing w:line="192" w:lineRule="auto"/>
              <w:ind/>
              <w:jc w:val="left"/>
              <w:rPr/>
            </w:pPr>
            <w:r>
              <w:rPr>
                <w:rFonts w:ascii="맑은 고딕" w:hAnsi="맑은 고딕" w:eastAsia="맑은 고딕" w:cs="맑은 고딕"/>
                <w:b w:val="0"/>
                <w:bCs w:val="0"/>
                <w:sz w:val="16"/>
                <w:szCs w:val="16"/>
              </w:rPr>
              <w:t xml:space="preserve">LLM + STT + TTS</w:t>
            </w:r>
            <w:r/>
          </w:p>
        </w:tc>
        <w:tc>
          <w:tcPr>
            <w:tcBorders/>
            <w:tcMar>
              <w:left w:w="80" w:type="dxa"/>
              <w:top w:w="50" w:type="dxa"/>
              <w:right w:w="80" w:type="dxa"/>
              <w:bottom w:w="50" w:type="dxa"/>
            </w:tcMar>
            <w:tcW w:w="2300" w:type="dxa"/>
          </w:tcPr>
          <w:p>
            <w:pPr>
              <w:pBdr/>
              <w:spacing w:line="192" w:lineRule="auto"/>
              <w:ind/>
              <w:jc w:val="left"/>
              <w:rPr/>
            </w:pPr>
            <w:r>
              <w:rPr>
                <w:rFonts w:ascii="맑은 고딕" w:hAnsi="맑은 고딕" w:eastAsia="맑은 고딕" w:cs="맑은 고딕"/>
                <w:b w:val="0"/>
                <w:bCs w:val="0"/>
                <w:sz w:val="16"/>
                <w:szCs w:val="16"/>
              </w:rPr>
              <w:t xml:space="preserve">사회공학 대응에 한정된 적용 범위</w:t>
            </w:r>
            <w:r/>
          </w:p>
        </w:tc>
        <w:tc>
          <w:tcPr>
            <w:tcBorders/>
            <w:tcMar>
              <w:left w:w="80" w:type="dxa"/>
              <w:top w:w="50" w:type="dxa"/>
              <w:right w:w="80" w:type="dxa"/>
              <w:bottom w:w="50" w:type="dxa"/>
            </w:tcMar>
            <w:tcW w:w="2200" w:type="dxa"/>
          </w:tcPr>
          <w:p>
            <w:pPr>
              <w:pBdr/>
              <w:spacing w:line="192" w:lineRule="auto"/>
              <w:ind/>
              <w:jc w:val="left"/>
              <w:rPr/>
            </w:pPr>
            <w:r>
              <w:rPr>
                <w:rFonts w:ascii="맑은 고딕" w:hAnsi="맑은 고딕" w:eastAsia="맑은 고딕" w:cs="맑은 고딕"/>
                <w:b w:val="0"/>
                <w:bCs w:val="0"/>
                <w:sz w:val="16"/>
                <w:szCs w:val="16"/>
              </w:rPr>
              <w:t xml:space="preserve">생성형 AI 기반 시나리오 다양성·확장성 실증</w:t>
            </w:r>
            <w:r/>
          </w:p>
        </w:tc>
      </w:tr>
      <w:tr>
        <w:trPr/>
        <w:tc>
          <w:tcPr>
            <w:tcBorders/>
            <w:tcMar>
              <w:left w:w="80" w:type="dxa"/>
              <w:top w:w="50" w:type="dxa"/>
              <w:right w:w="80" w:type="dxa"/>
              <w:bottom w:w="50" w:type="dxa"/>
            </w:tcMar>
            <w:tcW w:w="1500" w:type="dxa"/>
          </w:tcPr>
          <w:p>
            <w:pPr>
              <w:pBdr/>
              <w:spacing w:line="192" w:lineRule="auto"/>
              <w:ind/>
              <w:jc w:val="left"/>
              <w:rPr/>
            </w:pPr>
            <w:r>
              <w:rPr>
                <w:rFonts w:ascii="맑은 고딕" w:hAnsi="맑은 고딕" w:eastAsia="맑은 고딕" w:cs="맑은 고딕"/>
                <w:b w:val="0"/>
                <w:bCs w:val="0"/>
                <w:sz w:val="16"/>
                <w:szCs w:val="16"/>
              </w:rPr>
              <w:t xml:space="preserve">해외(시나리오 생성)</w:t>
            </w:r>
            <w:r/>
          </w:p>
        </w:tc>
        <w:tc>
          <w:tcPr>
            <w:tcBorders/>
            <w:tcMar>
              <w:left w:w="80" w:type="dxa"/>
              <w:top w:w="50" w:type="dxa"/>
              <w:right w:w="80" w:type="dxa"/>
              <w:bottom w:w="50" w:type="dxa"/>
            </w:tcMar>
            <w:tcW w:w="1900" w:type="dxa"/>
          </w:tcPr>
          <w:p>
            <w:pPr>
              <w:pBdr/>
              <w:spacing w:line="192" w:lineRule="auto"/>
              <w:ind/>
              <w:jc w:val="left"/>
              <w:rPr/>
            </w:pPr>
            <w:r>
              <w:rPr>
                <w:rFonts w:ascii="맑은 고딕" w:hAnsi="맑은 고딕" w:eastAsia="맑은 고딕" w:cs="맑은 고딕"/>
                <w:b w:val="0"/>
                <w:bCs w:val="0"/>
                <w:sz w:val="16"/>
                <w:szCs w:val="16"/>
              </w:rPr>
              <w:t xml:space="preserve">ASCERT / AiCEF</w:t>
            </w:r>
            <w:r/>
          </w:p>
        </w:tc>
        <w:tc>
          <w:tcPr>
            <w:tcBorders/>
            <w:tcMar>
              <w:left w:w="80" w:type="dxa"/>
              <w:top w:w="50" w:type="dxa"/>
              <w:right w:w="80" w:type="dxa"/>
              <w:bottom w:w="50" w:type="dxa"/>
            </w:tcMar>
            <w:tcW w:w="2100" w:type="dxa"/>
          </w:tcPr>
          <w:p>
            <w:pPr>
              <w:pBdr/>
              <w:spacing w:line="192" w:lineRule="auto"/>
              <w:ind/>
              <w:jc w:val="left"/>
              <w:rPr/>
            </w:pPr>
            <w:r>
              <w:rPr>
                <w:rFonts w:ascii="맑은 고딕" w:hAnsi="맑은 고딕" w:eastAsia="맑은 고딕" w:cs="맑은 고딕"/>
                <w:b w:val="0"/>
                <w:bCs w:val="0"/>
                <w:sz w:val="16"/>
                <w:szCs w:val="16"/>
              </w:rPr>
              <w:t xml:space="preserve">ASP·MAS / NER + GPT-2</w:t>
            </w:r>
            <w:r/>
          </w:p>
        </w:tc>
        <w:tc>
          <w:tcPr>
            <w:tcBorders/>
            <w:tcMar>
              <w:left w:w="80" w:type="dxa"/>
              <w:top w:w="50" w:type="dxa"/>
              <w:right w:w="80" w:type="dxa"/>
              <w:bottom w:w="50" w:type="dxa"/>
            </w:tcMar>
            <w:tcW w:w="2300" w:type="dxa"/>
          </w:tcPr>
          <w:p>
            <w:pPr>
              <w:pBdr/>
              <w:spacing w:line="192" w:lineRule="auto"/>
              <w:ind/>
              <w:jc w:val="left"/>
              <w:rPr/>
            </w:pPr>
            <w:r>
              <w:rPr>
                <w:rFonts w:ascii="맑은 고딕" w:hAnsi="맑은 고딕" w:eastAsia="맑은 고딕" w:cs="맑은 고딕"/>
                <w:b w:val="0"/>
                <w:bCs w:val="0"/>
                <w:sz w:val="16"/>
                <w:szCs w:val="16"/>
              </w:rPr>
              <w:t xml:space="preserve">최신 LLM 미적용, 초기 세대 생성 모델 활용</w:t>
            </w:r>
            <w:r/>
          </w:p>
        </w:tc>
        <w:tc>
          <w:tcPr>
            <w:tcBorders/>
            <w:tcMar>
              <w:left w:w="80" w:type="dxa"/>
              <w:top w:w="50" w:type="dxa"/>
              <w:right w:w="80" w:type="dxa"/>
              <w:bottom w:w="50" w:type="dxa"/>
            </w:tcMar>
            <w:tcW w:w="2200" w:type="dxa"/>
          </w:tcPr>
          <w:p>
            <w:pPr>
              <w:pBdr/>
              <w:spacing w:line="192" w:lineRule="auto"/>
              <w:ind/>
              <w:jc w:val="left"/>
              <w:rPr/>
            </w:pPr>
            <w:r>
              <w:rPr>
                <w:rFonts w:ascii="맑은 고딕" w:hAnsi="맑은 고딕" w:eastAsia="맑은 고딕" w:cs="맑은 고딕"/>
                <w:b w:val="0"/>
                <w:bCs w:val="0"/>
                <w:sz w:val="16"/>
                <w:szCs w:val="16"/>
              </w:rPr>
              <w:t xml:space="preserve">전문가 부족 문제의 정량적 보완 효과 입증</w:t>
            </w:r>
            <w:r/>
          </w:p>
        </w:tc>
      </w:tr>
      <w:tr>
        <w:trPr/>
        <w:tc>
          <w:tcPr>
            <w:tcBorders/>
            <w:tcMar>
              <w:left w:w="80" w:type="dxa"/>
              <w:top w:w="50" w:type="dxa"/>
              <w:right w:w="80" w:type="dxa"/>
              <w:bottom w:w="50" w:type="dxa"/>
            </w:tcMar>
            <w:tcW w:w="1500" w:type="dxa"/>
          </w:tcPr>
          <w:p>
            <w:pPr>
              <w:pBdr/>
              <w:spacing w:line="192" w:lineRule="auto"/>
              <w:ind/>
              <w:jc w:val="left"/>
              <w:rPr/>
            </w:pPr>
            <w:r>
              <w:rPr>
                <w:rFonts w:ascii="맑은 고딕" w:hAnsi="맑은 고딕" w:eastAsia="맑은 고딕" w:cs="맑은 고딕"/>
                <w:b w:val="0"/>
                <w:bCs w:val="0"/>
                <w:sz w:val="16"/>
                <w:szCs w:val="16"/>
              </w:rPr>
              <w:t xml:space="preserve">해외(자율 공방)</w:t>
            </w:r>
            <w:r/>
          </w:p>
        </w:tc>
        <w:tc>
          <w:tcPr>
            <w:tcBorders/>
            <w:tcMar>
              <w:left w:w="80" w:type="dxa"/>
              <w:top w:w="50" w:type="dxa"/>
              <w:right w:w="80" w:type="dxa"/>
              <w:bottom w:w="50" w:type="dxa"/>
            </w:tcMar>
            <w:tcW w:w="1900" w:type="dxa"/>
          </w:tcPr>
          <w:p>
            <w:pPr>
              <w:pBdr/>
              <w:spacing w:line="192" w:lineRule="auto"/>
              <w:ind/>
              <w:jc w:val="left"/>
              <w:rPr/>
            </w:pPr>
            <w:r>
              <w:rPr>
                <w:rFonts w:ascii="맑은 고딕" w:hAnsi="맑은 고딕" w:eastAsia="맑은 고딕" w:cs="맑은 고딕"/>
                <w:b w:val="0"/>
                <w:bCs w:val="0"/>
                <w:sz w:val="16"/>
                <w:szCs w:val="16"/>
              </w:rPr>
              <w:t xml:space="preserve">MARLon</w:t>
            </w:r>
            <w:r/>
          </w:p>
        </w:tc>
        <w:tc>
          <w:tcPr>
            <w:tcBorders/>
            <w:tcMar>
              <w:left w:w="80" w:type="dxa"/>
              <w:top w:w="50" w:type="dxa"/>
              <w:right w:w="80" w:type="dxa"/>
              <w:bottom w:w="50" w:type="dxa"/>
            </w:tcMar>
            <w:tcW w:w="2100" w:type="dxa"/>
          </w:tcPr>
          <w:p>
            <w:pPr>
              <w:pBdr/>
              <w:spacing w:line="192" w:lineRule="auto"/>
              <w:ind/>
              <w:jc w:val="left"/>
              <w:rPr/>
            </w:pPr>
            <w:r>
              <w:rPr>
                <w:rFonts w:ascii="맑은 고딕" w:hAnsi="맑은 고딕" w:eastAsia="맑은 고딕" w:cs="맑은 고딕"/>
                <w:b w:val="0"/>
                <w:bCs w:val="0"/>
                <w:sz w:val="16"/>
                <w:szCs w:val="16"/>
              </w:rPr>
              <w:t xml:space="preserve">다중 에이전트 강화학습(MARL)</w:t>
            </w:r>
            <w:r/>
          </w:p>
        </w:tc>
        <w:tc>
          <w:tcPr>
            <w:tcBorders/>
            <w:tcMar>
              <w:left w:w="80" w:type="dxa"/>
              <w:top w:w="50" w:type="dxa"/>
              <w:right w:w="80" w:type="dxa"/>
              <w:bottom w:w="50" w:type="dxa"/>
            </w:tcMar>
            <w:tcW w:w="2300" w:type="dxa"/>
          </w:tcPr>
          <w:p>
            <w:pPr>
              <w:pBdr/>
              <w:spacing w:line="192" w:lineRule="auto"/>
              <w:ind/>
              <w:jc w:val="left"/>
              <w:rPr/>
            </w:pPr>
            <w:r>
              <w:rPr>
                <w:rFonts w:ascii="맑은 고딕" w:hAnsi="맑은 고딕" w:eastAsia="맑은 고딕" w:cs="맑은 고딕"/>
                <w:b w:val="0"/>
                <w:bCs w:val="0"/>
                <w:sz w:val="16"/>
                <w:szCs w:val="16"/>
              </w:rPr>
              <w:t xml:space="preserve">단일 시뮬레이터</w:t>
            </w:r>
            <w:r>
              <w:rPr>
                <w:rFonts w:ascii="맑은 고딕" w:hAnsi="맑은 고딕" w:eastAsia="맑은 고딕" w:cs="맑은 고딕"/>
                <w:b w:val="0"/>
                <w:bCs w:val="0"/>
                <w:sz w:val="16"/>
                <w:szCs w:val="16"/>
                <w:lang w:val="ko-KR"/>
              </w:rPr>
              <w:t xml:space="preserve"> </w:t>
            </w:r>
            <w:r>
              <w:rPr>
                <w:rFonts w:ascii="맑은 고딕" w:hAnsi="맑은 고딕" w:eastAsia="맑은 고딕" w:cs="맑은 고딕"/>
                <w:b w:val="0"/>
                <w:bCs w:val="0"/>
                <w:sz w:val="16"/>
                <w:szCs w:val="16"/>
              </w:rPr>
              <w:t xml:space="preserve">(CyberBattleSim) 환경에 국한</w:t>
            </w:r>
            <w:r/>
          </w:p>
        </w:tc>
        <w:tc>
          <w:tcPr>
            <w:tcBorders/>
            <w:tcMar>
              <w:left w:w="80" w:type="dxa"/>
              <w:top w:w="50" w:type="dxa"/>
              <w:right w:w="80" w:type="dxa"/>
              <w:bottom w:w="50" w:type="dxa"/>
            </w:tcMar>
            <w:tcW w:w="2200" w:type="dxa"/>
          </w:tcPr>
          <w:p>
            <w:pPr>
              <w:pBdr/>
              <w:spacing w:line="192" w:lineRule="auto"/>
              <w:ind/>
              <w:jc w:val="left"/>
              <w:rPr/>
            </w:pPr>
            <w:r>
              <w:rPr>
                <w:rFonts w:ascii="맑은 고딕" w:hAnsi="맑은 고딕" w:eastAsia="맑은 고딕" w:cs="맑은 고딕"/>
                <w:b w:val="0"/>
                <w:bCs w:val="0"/>
                <w:sz w:val="16"/>
                <w:szCs w:val="16"/>
              </w:rPr>
              <w:t xml:space="preserve">자율 방어 에이전트 학습 가능성 실증</w:t>
            </w:r>
            <w:r/>
          </w:p>
        </w:tc>
      </w:tr>
      <w:tr>
        <w:trPr/>
        <w:tc>
          <w:tcPr>
            <w:tcBorders/>
            <w:tcMar>
              <w:left w:w="80" w:type="dxa"/>
              <w:top w:w="50" w:type="dxa"/>
              <w:right w:w="80" w:type="dxa"/>
              <w:bottom w:w="50" w:type="dxa"/>
            </w:tcMar>
            <w:tcW w:w="1500" w:type="dxa"/>
          </w:tcPr>
          <w:p>
            <w:pPr>
              <w:pBdr/>
              <w:spacing w:line="192" w:lineRule="auto"/>
              <w:ind/>
              <w:jc w:val="left"/>
              <w:rPr/>
            </w:pPr>
            <w:r>
              <w:rPr>
                <w:rFonts w:ascii="맑은 고딕" w:hAnsi="맑은 고딕" w:eastAsia="맑은 고딕" w:cs="맑은 고딕"/>
                <w:b w:val="0"/>
                <w:bCs w:val="0"/>
                <w:sz w:val="16"/>
                <w:szCs w:val="16"/>
              </w:rPr>
              <w:t xml:space="preserve">해외(환경 구축)</w:t>
            </w:r>
            <w:r/>
          </w:p>
        </w:tc>
        <w:tc>
          <w:tcPr>
            <w:tcBorders/>
            <w:tcMar>
              <w:left w:w="80" w:type="dxa"/>
              <w:top w:w="50" w:type="dxa"/>
              <w:right w:w="80" w:type="dxa"/>
              <w:bottom w:w="50" w:type="dxa"/>
            </w:tcMar>
            <w:tcW w:w="1900" w:type="dxa"/>
          </w:tcPr>
          <w:p>
            <w:pPr>
              <w:pBdr/>
              <w:spacing w:line="192" w:lineRule="auto"/>
              <w:ind/>
              <w:jc w:val="left"/>
              <w:rPr/>
            </w:pPr>
            <w:r>
              <w:rPr>
                <w:rFonts w:ascii="맑은 고딕" w:hAnsi="맑은 고딕" w:eastAsia="맑은 고딕" w:cs="맑은 고딕"/>
                <w:b w:val="0"/>
                <w:bCs w:val="0"/>
                <w:sz w:val="16"/>
                <w:szCs w:val="16"/>
              </w:rPr>
              <w:t xml:space="preserve">AgentCyTE</w:t>
            </w:r>
            <w:r/>
          </w:p>
        </w:tc>
        <w:tc>
          <w:tcPr>
            <w:tcBorders/>
            <w:tcMar>
              <w:left w:w="80" w:type="dxa"/>
              <w:top w:w="50" w:type="dxa"/>
              <w:right w:w="80" w:type="dxa"/>
              <w:bottom w:w="50" w:type="dxa"/>
            </w:tcMar>
            <w:tcW w:w="2100" w:type="dxa"/>
          </w:tcPr>
          <w:p>
            <w:pPr>
              <w:pBdr/>
              <w:spacing w:line="192" w:lineRule="auto"/>
              <w:ind/>
              <w:jc w:val="left"/>
              <w:rPr/>
            </w:pPr>
            <w:r>
              <w:rPr>
                <w:rFonts w:ascii="맑은 고딕" w:hAnsi="맑은 고딕" w:eastAsia="맑은 고딕" w:cs="맑은 고딕"/>
                <w:b w:val="0"/>
                <w:bCs w:val="0"/>
                <w:sz w:val="16"/>
                <w:szCs w:val="16"/>
              </w:rPr>
              <w:t xml:space="preserve">Agentic AI(가설 기반 자율 교정)</w:t>
            </w:r>
            <w:r/>
          </w:p>
        </w:tc>
        <w:tc>
          <w:tcPr>
            <w:tcBorders/>
            <w:tcMar>
              <w:left w:w="80" w:type="dxa"/>
              <w:top w:w="50" w:type="dxa"/>
              <w:right w:w="80" w:type="dxa"/>
              <w:bottom w:w="50" w:type="dxa"/>
            </w:tcMar>
            <w:tcW w:w="2300" w:type="dxa"/>
          </w:tcPr>
          <w:p>
            <w:pPr>
              <w:pBdr/>
              <w:spacing w:line="192" w:lineRule="auto"/>
              <w:ind/>
              <w:jc w:val="left"/>
              <w:rPr/>
            </w:pPr>
            <w:r>
              <w:rPr>
                <w:rFonts w:ascii="맑은 고딕" w:hAnsi="맑은 고딕" w:eastAsia="맑은 고딕" w:cs="맑은 고딕"/>
                <w:b w:val="0"/>
                <w:bCs w:val="0"/>
                <w:sz w:val="16"/>
                <w:szCs w:val="16"/>
              </w:rPr>
              <w:t xml:space="preserve">육상 IT 네트워크 토폴로지 중심 검증</w:t>
            </w:r>
            <w:r/>
          </w:p>
        </w:tc>
        <w:tc>
          <w:tcPr>
            <w:tcBorders/>
            <w:tcMar>
              <w:left w:w="80" w:type="dxa"/>
              <w:top w:w="50" w:type="dxa"/>
              <w:right w:w="80" w:type="dxa"/>
              <w:bottom w:w="50" w:type="dxa"/>
            </w:tcMar>
            <w:tcW w:w="2200" w:type="dxa"/>
          </w:tcPr>
          <w:p>
            <w:pPr>
              <w:pBdr/>
              <w:spacing w:line="192" w:lineRule="auto"/>
              <w:ind/>
              <w:jc w:val="left"/>
              <w:rPr/>
            </w:pPr>
            <w:r>
              <w:rPr>
                <w:rFonts w:ascii="맑은 고딕" w:hAnsi="맑은 고딕" w:eastAsia="맑은 고딕" w:cs="맑은 고딕"/>
                <w:b w:val="0"/>
                <w:bCs w:val="0"/>
                <w:sz w:val="16"/>
                <w:szCs w:val="16"/>
              </w:rPr>
              <w:t xml:space="preserve">시나리오~환경 종단간 자동화 실증</w:t>
            </w:r>
            <w:r/>
          </w:p>
        </w:tc>
      </w:tr>
      <w:tr>
        <w:trPr/>
        <w:tc>
          <w:tcPr>
            <w:tcBorders/>
            <w:tcMar>
              <w:left w:w="80" w:type="dxa"/>
              <w:top w:w="50" w:type="dxa"/>
              <w:right w:w="80" w:type="dxa"/>
              <w:bottom w:w="50" w:type="dxa"/>
            </w:tcMar>
            <w:tcW w:w="1500" w:type="dxa"/>
          </w:tcPr>
          <w:p>
            <w:pPr>
              <w:pBdr/>
              <w:spacing w:line="192" w:lineRule="auto"/>
              <w:ind/>
              <w:jc w:val="left"/>
              <w:rPr/>
            </w:pPr>
            <w:r>
              <w:rPr>
                <w:rFonts w:ascii="맑은 고딕" w:hAnsi="맑은 고딕" w:eastAsia="맑은 고딕" w:cs="맑은 고딕"/>
                <w:b w:val="0"/>
                <w:bCs w:val="0"/>
                <w:sz w:val="16"/>
                <w:szCs w:val="16"/>
              </w:rPr>
              <w:t xml:space="preserve">해사(항만 전력망)</w:t>
            </w:r>
            <w:r/>
          </w:p>
        </w:tc>
        <w:tc>
          <w:tcPr>
            <w:tcBorders/>
            <w:tcMar>
              <w:left w:w="80" w:type="dxa"/>
              <w:top w:w="50" w:type="dxa"/>
              <w:right w:w="80" w:type="dxa"/>
              <w:bottom w:w="50" w:type="dxa"/>
            </w:tcMar>
            <w:tcW w:w="1900" w:type="dxa"/>
          </w:tcPr>
          <w:p>
            <w:pPr>
              <w:pBdr/>
              <w:spacing w:line="192" w:lineRule="auto"/>
              <w:ind/>
              <w:jc w:val="left"/>
              <w:rPr/>
            </w:pPr>
            <w:r>
              <w:rPr>
                <w:rFonts w:ascii="맑은 고딕" w:hAnsi="맑은 고딕" w:eastAsia="맑은 고딕" w:cs="맑은 고딕"/>
                <w:b w:val="0"/>
                <w:bCs w:val="0"/>
                <w:sz w:val="16"/>
                <w:szCs w:val="16"/>
              </w:rPr>
              <w:t xml:space="preserve">Cyber-MAR 파일럿
(Jacq et al., 2021)</w:t>
            </w:r>
            <w:r/>
          </w:p>
        </w:tc>
        <w:tc>
          <w:tcPr>
            <w:tcBorders/>
            <w:tcMar>
              <w:left w:w="80" w:type="dxa"/>
              <w:top w:w="50" w:type="dxa"/>
              <w:right w:w="80" w:type="dxa"/>
              <w:bottom w:w="50" w:type="dxa"/>
            </w:tcMar>
            <w:tcW w:w="2100" w:type="dxa"/>
          </w:tcPr>
          <w:p>
            <w:pPr>
              <w:pBdr/>
              <w:spacing w:line="192" w:lineRule="auto"/>
              <w:ind/>
              <w:jc w:val="left"/>
              <w:rPr/>
            </w:pPr>
            <w:r>
              <w:rPr>
                <w:rFonts w:ascii="맑은 고딕" w:hAnsi="맑은 고딕" w:eastAsia="맑은 고딕" w:cs="맑은 고딕"/>
                <w:b w:val="0"/>
                <w:bCs w:val="0"/>
                <w:sz w:val="16"/>
                <w:szCs w:val="16"/>
              </w:rPr>
              <w:t xml:space="preserve">하이브리드 레인지 + SIEM 이상탐지·VLMM 예측</w:t>
            </w:r>
            <w:r/>
          </w:p>
        </w:tc>
        <w:tc>
          <w:tcPr>
            <w:tcBorders/>
            <w:tcMar>
              <w:left w:w="80" w:type="dxa"/>
              <w:top w:w="50" w:type="dxa"/>
              <w:right w:w="80" w:type="dxa"/>
              <w:bottom w:w="50" w:type="dxa"/>
            </w:tcMar>
            <w:tcW w:w="2300" w:type="dxa"/>
          </w:tcPr>
          <w:p>
            <w:pPr>
              <w:pBdr/>
              <w:spacing w:line="192" w:lineRule="auto"/>
              <w:ind/>
              <w:jc w:val="left"/>
              <w:rPr/>
            </w:pPr>
            <w:r>
              <w:rPr>
                <w:rFonts w:ascii="맑은 고딕" w:hAnsi="맑은 고딕" w:eastAsia="맑은 고딕" w:cs="맑은 고딕"/>
                <w:b w:val="0"/>
                <w:bCs w:val="0"/>
                <w:sz w:val="16"/>
                <w:szCs w:val="16"/>
              </w:rPr>
              <w:t xml:space="preserve">AI가 탐지·예측 등 일부 계층에만 결합</w:t>
            </w:r>
            <w:r/>
          </w:p>
        </w:tc>
        <w:tc>
          <w:tcPr>
            <w:tcBorders/>
            <w:tcMar>
              <w:left w:w="80" w:type="dxa"/>
              <w:top w:w="50" w:type="dxa"/>
              <w:right w:w="80" w:type="dxa"/>
              <w:bottom w:w="50" w:type="dxa"/>
            </w:tcMar>
            <w:tcW w:w="2200" w:type="dxa"/>
          </w:tcPr>
          <w:p>
            <w:pPr>
              <w:pBdr/>
              <w:spacing w:line="192" w:lineRule="auto"/>
              <w:ind/>
              <w:jc w:val="left"/>
              <w:rPr/>
            </w:pPr>
            <w:r>
              <w:rPr>
                <w:rFonts w:ascii="맑은 고딕" w:hAnsi="맑은 고딕" w:eastAsia="맑은 고딕" w:cs="맑은 고딕"/>
                <w:b w:val="0"/>
                <w:bCs w:val="0"/>
                <w:sz w:val="16"/>
                <w:szCs w:val="16"/>
              </w:rPr>
              <w:t xml:space="preserve">공급망 손실까지 정량화하는 통합 프레임워크 실증</w:t>
            </w:r>
            <w:r/>
          </w:p>
        </w:tc>
      </w:tr>
      <w:tr>
        <w:trPr/>
        <w:tc>
          <w:tcPr>
            <w:tcBorders/>
            <w:tcMar>
              <w:left w:w="80" w:type="dxa"/>
              <w:top w:w="50" w:type="dxa"/>
              <w:right w:w="80" w:type="dxa"/>
              <w:bottom w:w="50" w:type="dxa"/>
            </w:tcMar>
            <w:tcW w:w="1500" w:type="dxa"/>
          </w:tcPr>
          <w:p>
            <w:pPr>
              <w:pBdr/>
              <w:spacing w:line="192" w:lineRule="auto"/>
              <w:ind/>
              <w:jc w:val="left"/>
              <w:rPr/>
            </w:pPr>
            <w:r>
              <w:rPr>
                <w:rFonts w:ascii="맑은 고딕" w:hAnsi="맑은 고딕" w:eastAsia="맑은 고딕" w:cs="맑은 고딕"/>
                <w:b w:val="0"/>
                <w:bCs w:val="0"/>
                <w:sz w:val="16"/>
                <w:szCs w:val="16"/>
              </w:rPr>
              <w:t xml:space="preserve">해사(선박·항만)</w:t>
            </w:r>
            <w:r/>
          </w:p>
        </w:tc>
        <w:tc>
          <w:tcPr>
            <w:tcBorders/>
            <w:tcMar>
              <w:left w:w="80" w:type="dxa"/>
              <w:top w:w="50" w:type="dxa"/>
              <w:right w:w="80" w:type="dxa"/>
              <w:bottom w:w="50" w:type="dxa"/>
            </w:tcMar>
            <w:tcW w:w="1900" w:type="dxa"/>
          </w:tcPr>
          <w:p>
            <w:pPr>
              <w:pBdr/>
              <w:spacing w:line="192" w:lineRule="auto"/>
              <w:ind/>
              <w:jc w:val="left"/>
              <w:rPr/>
            </w:pPr>
            <w:r>
              <w:rPr>
                <w:rFonts w:ascii="맑은 고딕" w:hAnsi="맑은 고딕" w:eastAsia="맑은 고딕" w:cs="맑은 고딕"/>
                <w:b w:val="0"/>
                <w:bCs w:val="0"/>
                <w:sz w:val="16"/>
                <w:szCs w:val="16"/>
              </w:rPr>
              <w:t xml:space="preserve">3계층 아키텍처
(Tam et al., 2021)</w:t>
            </w:r>
            <w:r/>
          </w:p>
        </w:tc>
        <w:tc>
          <w:tcPr>
            <w:tcBorders/>
            <w:tcMar>
              <w:left w:w="80" w:type="dxa"/>
              <w:top w:w="50" w:type="dxa"/>
              <w:right w:w="80" w:type="dxa"/>
              <w:bottom w:w="50" w:type="dxa"/>
            </w:tcMar>
            <w:tcW w:w="2100" w:type="dxa"/>
          </w:tcPr>
          <w:p>
            <w:pPr>
              <w:pBdr/>
              <w:spacing w:line="192" w:lineRule="auto"/>
              <w:ind/>
              <w:jc w:val="left"/>
              <w:rPr/>
            </w:pPr>
            <w:r>
              <w:rPr>
                <w:rFonts w:ascii="맑은 고딕" w:hAnsi="맑은 고딕" w:eastAsia="맑은 고딕" w:cs="맑은 고딕"/>
                <w:b w:val="0"/>
                <w:bCs w:val="0"/>
                <w:sz w:val="16"/>
                <w:szCs w:val="16"/>
              </w:rPr>
              <w:t xml:space="preserve">IDS/MaCRA 연동용 데이터 파이프라인</w:t>
            </w:r>
            <w:r/>
          </w:p>
        </w:tc>
        <w:tc>
          <w:tcPr>
            <w:tcBorders/>
            <w:tcMar>
              <w:left w:w="80" w:type="dxa"/>
              <w:top w:w="50" w:type="dxa"/>
              <w:right w:w="80" w:type="dxa"/>
              <w:bottom w:w="50" w:type="dxa"/>
            </w:tcMar>
            <w:tcW w:w="2300" w:type="dxa"/>
          </w:tcPr>
          <w:p>
            <w:pPr>
              <w:pBdr/>
              <w:spacing w:line="192" w:lineRule="auto"/>
              <w:ind/>
              <w:jc w:val="left"/>
              <w:rPr/>
            </w:pPr>
            <w:r>
              <w:rPr>
                <w:rFonts w:ascii="맑은 고딕" w:hAnsi="맑은 고딕" w:eastAsia="맑은 고딕" w:cs="맑은 고딕"/>
                <w:b w:val="0"/>
                <w:bCs w:val="0"/>
                <w:sz w:val="16"/>
                <w:szCs w:val="16"/>
              </w:rPr>
              <w:t xml:space="preserve">AI 자체보다 인프라·연합 구조 설계에 초점</w:t>
            </w:r>
            <w:r/>
          </w:p>
        </w:tc>
        <w:tc>
          <w:tcPr>
            <w:tcBorders/>
            <w:tcMar>
              <w:left w:w="80" w:type="dxa"/>
              <w:top w:w="50" w:type="dxa"/>
              <w:right w:w="80" w:type="dxa"/>
              <w:bottom w:w="50" w:type="dxa"/>
            </w:tcMar>
            <w:tcW w:w="2200" w:type="dxa"/>
          </w:tcPr>
          <w:p>
            <w:pPr>
              <w:pBdr/>
              <w:spacing w:line="192" w:lineRule="auto"/>
              <w:ind/>
              <w:jc w:val="left"/>
              <w:rPr/>
            </w:pPr>
            <w:r>
              <w:rPr>
                <w:rFonts w:ascii="맑은 고딕" w:hAnsi="맑은 고딕" w:eastAsia="맑은 고딕" w:cs="맑은 고딕"/>
                <w:b w:val="0"/>
                <w:bCs w:val="0"/>
                <w:sz w:val="16"/>
                <w:szCs w:val="16"/>
              </w:rPr>
              <w:t xml:space="preserve">해사 특화 교육표준·평가체계 필요성 실증</w:t>
            </w:r>
            <w:r/>
          </w:p>
        </w:tc>
      </w:tr>
    </w:tbl>
    <w:p>
      <w:pPr>
        <w:pBdr/>
        <w:spacing w:after="0" w:before="160"/>
        <w:ind/>
        <w:jc w:val="left"/>
        <w:rPr/>
      </w:pPr>
      <w:r/>
      <w:r/>
    </w:p>
    <w:p>
      <w:pPr>
        <w:pBdr/>
        <w:spacing w:after="120" w:line="192" w:lineRule="auto"/>
        <w:ind/>
        <w:jc w:val="left"/>
        <w:rPr>
          <w:sz w:val="18"/>
          <w:szCs w:val="18"/>
        </w:rPr>
      </w:pPr>
      <w:r>
        <w:rPr>
          <w:rFonts w:ascii="맑은 고딕" w:hAnsi="맑은 고딕" w:eastAsia="맑은 고딕" w:cs="맑은 고딕"/>
          <w:sz w:val="18"/>
          <w:szCs w:val="18"/>
        </w:rPr>
        <w:t xml:space="preserve">국내는 퍼지규칙</w:t>
      </w:r>
      <w:r>
        <w:rPr>
          <w:rFonts w:ascii="맑은 고딕" w:hAnsi="맑은 고딕" w:eastAsia="맑은 고딕" w:cs="맑은 고딕"/>
          <w:sz w:val="18"/>
          <w:szCs w:val="18"/>
        </w:rPr>
        <w:t xml:space="preserve">·상태천이 기반 자동화에서 출발해 강화학습 기반 자율 공방, 생성형 AI 기반 사회공학 대응으로 AI 융합이 점차 심화되고 있으나, 시나리오 설계부터 환경 구현까지 하나의 파이프라인으로 통합한 사례는 아직 없다. 반면 해외는 ASCERT·AiCEF가 시나리오 생성을, MARLon이 자율 공방 학습을, AgentCyTE가 시나리오~에뮬레이션 환경 구현까지 종단간 자동화를 각각 실증하며 Agentic AI 기반 사이버훈련장이라는 공통된 흐름을 형성하고 있다.</w:t>
      </w:r>
      <w:r>
        <w:rPr>
          <w:sz w:val="18"/>
          <w:szCs w:val="18"/>
        </w:rPr>
      </w:r>
    </w:p>
    <w:p>
      <w:pPr>
        <w:pBdr/>
        <w:spacing w:after="120" w:line="192" w:lineRule="auto"/>
        <w:ind/>
        <w:jc w:val="left"/>
        <w:rPr>
          <w:sz w:val="18"/>
          <w:szCs w:val="18"/>
        </w:rPr>
      </w:pPr>
      <w:r>
        <w:rPr>
          <w:rFonts w:ascii="맑은 고딕" w:hAnsi="맑은 고딕" w:eastAsia="맑은 고딕" w:cs="맑은 고딕"/>
          <w:sz w:val="18"/>
          <w:szCs w:val="18"/>
        </w:rPr>
        <w:t xml:space="preserve">해사 도</w:t>
      </w:r>
      <w:r>
        <w:rPr>
          <w:rFonts w:ascii="맑은 고딕" w:hAnsi="맑은 고딕" w:eastAsia="맑은 고딕" w:cs="맑은 고딕"/>
          <w:sz w:val="18"/>
          <w:szCs w:val="18"/>
        </w:rPr>
        <w:t xml:space="preserve">메인은 하이브리드 레인지·연합 테스트베드 등 인프라 구축은 상당 수준 성숙했으나, AI의 역할은 IDS 이상탐지와 VLMM 예측 등 일부 계층에 머물러 있다. 따라서 해외에서 검증된 시나리오·환경 자동 생성 기술과 자율 공방 학습 기술을 Modbus·AIS 등 해사 특화 프로토콜과 실물 PLC·추진장치에 맞추어 이식하는 해사 특화 AI 기반 사이버훈련장 프레임워크 연구가 필요하며, 이는 빠르게 고도화되는 공격 환경에 대응하기 위한 핵심 대안이 될 것이다.</w:t>
      </w:r>
      <w:r>
        <w:rPr>
          <w:sz w:val="18"/>
          <w:szCs w:val="18"/>
        </w:rPr>
      </w:r>
    </w:p>
    <w:p w14:paraId="73BDBC69">
      <w:pPr>
        <w:pBdr/>
        <w:shd w:val="nil"/>
        <w:spacing/>
        <w:ind/>
        <w:rPr/>
      </w:pPr>
      <w:r>
        <w:rPr>
          <w:rFonts w:ascii="맑은 고딕" w:hAnsi="맑은 고딕" w:eastAsia="맑은 고딕" w:cs="맑은 고딕"/>
          <w:b/>
          <w:bCs/>
          <w:color w:val="1f3864"/>
          <w:sz w:val="27"/>
          <w:szCs w:val="27"/>
          <w:highlight w:val="none"/>
        </w:rPr>
        <w:br w:type="page" w:clear="all"/>
      </w:r>
      <w:r>
        <w:rPr>
          <w:rFonts w:ascii="맑은 고딕" w:hAnsi="맑은 고딕" w:eastAsia="맑은 고딕" w:cs="맑은 고딕"/>
          <w:b/>
          <w:bCs/>
          <w:color w:val="1f3864"/>
          <w:sz w:val="27"/>
          <w:szCs w:val="27"/>
          <w:highlight w:val="none"/>
        </w:rPr>
      </w:r>
      <w:r>
        <w:rPr>
          <w:rFonts w:ascii="맑은 고딕" w:hAnsi="맑은 고딕" w:eastAsia="맑은 고딕" w:cs="맑은 고딕"/>
          <w:b/>
          <w:bCs/>
          <w:color w:val="1f3864"/>
          <w:sz w:val="27"/>
          <w:szCs w:val="27"/>
          <w:highlight w:val="none"/>
        </w:rPr>
      </w:r>
    </w:p>
    <w:p>
      <w:pPr>
        <w:pStyle w:val="706"/>
        <w:pBdr/>
        <w:spacing w:after="120" w:before="260"/>
        <w:ind/>
        <w:jc w:val="left"/>
        <w:rPr>
          <w:rFonts w:ascii="맑은 고딕" w:hAnsi="맑은 고딕" w:eastAsia="맑은 고딕" w:cs="맑은 고딕"/>
          <w:b/>
          <w:bCs/>
          <w:color w:val="1f3864"/>
          <w:sz w:val="27"/>
          <w:szCs w:val="27"/>
          <w:highlight w:val="none"/>
        </w:rPr>
      </w:pPr>
      <w:r>
        <w:rPr>
          <w:rFonts w:ascii="맑은 고딕" w:hAnsi="맑은 고딕" w:eastAsia="맑은 고딕" w:cs="맑은 고딕"/>
          <w:b/>
          <w:bCs/>
          <w:color w:val="1f3864"/>
          <w:sz w:val="27"/>
          <w:szCs w:val="27"/>
        </w:rPr>
        <w:t xml:space="preserve">참고문헌</w:t>
      </w:r>
      <w:r/>
    </w:p>
    <w:p>
      <w:pPr>
        <w:pBdr/>
        <w:spacing w:after="60" w:line="252" w:lineRule="auto"/>
        <w:ind w:hanging="403" w:left="403"/>
        <w:jc w:val="left"/>
        <w:rPr/>
      </w:pPr>
      <w:r>
        <w:rPr>
          <w:rFonts w:ascii="맑은 고딕" w:hAnsi="맑은 고딕" w:eastAsia="맑은 고딕" w:cs="맑은 고딕"/>
          <w:sz w:val="17"/>
          <w:szCs w:val="17"/>
        </w:rPr>
        <w:t xml:space="preserve">남수만 (2020). 사이버 보안에서 맞춤형 훈련 시나리오를 자동 생성하기 위한 퍼지 규칙 기반 시스템. 한국컴퓨터정보학회논문지, 25(8), 39-45.</w:t>
      </w:r>
      <w:r/>
    </w:p>
    <w:p>
      <w:pPr>
        <w:pBdr/>
        <w:spacing w:after="60" w:line="252" w:lineRule="auto"/>
        <w:ind w:hanging="403" w:left="403"/>
        <w:jc w:val="left"/>
        <w:rPr/>
      </w:pPr>
      <w:r>
        <w:rPr>
          <w:rFonts w:ascii="맑은 고딕" w:hAnsi="맑은 고딕" w:eastAsia="맑은 고딕" w:cs="맑은 고딕"/>
          <w:sz w:val="17"/>
          <w:szCs w:val="17"/>
        </w:rPr>
        <w:t xml:space="preserve">김동화, 김용현, 안명길, 이희조 (2020). Automated Cyber Threat Emulation Based on ATT&amp;CK for Cyber Security Training. 한국컴퓨터정보학회논문지, 25(9), 71-80.</w:t>
      </w:r>
      <w:r/>
    </w:p>
    <w:p>
      <w:pPr>
        <w:pBdr/>
        <w:spacing w:after="60" w:line="252" w:lineRule="auto"/>
        <w:ind w:hanging="403" w:left="403"/>
        <w:jc w:val="left"/>
        <w:rPr/>
      </w:pPr>
      <w:r>
        <w:rPr>
          <w:rFonts w:ascii="맑은 고딕" w:hAnsi="맑은 고딕" w:eastAsia="맑은 고딕" w:cs="맑은 고딕"/>
          <w:sz w:val="17"/>
          <w:szCs w:val="17"/>
        </w:rPr>
        <w:t xml:space="preserve">김범석, 구기종, 최양서, 유재학, 문대성 (2026). 강화학습 기반 사이버 공격 시뮬레이션 및 에뮬레이션 환경 기술 동향. 전자통신동향분석, 41(1).</w:t>
      </w:r>
      <w:r/>
    </w:p>
    <w:p>
      <w:pPr>
        <w:pBdr/>
        <w:spacing w:after="60" w:line="252" w:lineRule="auto"/>
        <w:ind w:hanging="403" w:left="403"/>
        <w:jc w:val="left"/>
        <w:rPr/>
      </w:pPr>
      <w:r>
        <w:rPr>
          <w:rFonts w:ascii="맑은 고딕" w:hAnsi="맑은 고딕" w:eastAsia="맑은 고딕" w:cs="맑은 고딕"/>
          <w:sz w:val="17"/>
          <w:szCs w:val="17"/>
        </w:rPr>
        <w:t xml:space="preserve">정진영, 이민아 (2025). 생성형 AI 기반의 사회공학 대응 산업보안 훈련 체계 정책 제안. 한국산업보안연구, 15(3), 227-249.</w:t>
      </w:r>
      <w:r/>
    </w:p>
    <w:p>
      <w:pPr>
        <w:pBdr/>
        <w:spacing w:after="60" w:line="252" w:lineRule="auto"/>
        <w:ind w:hanging="403" w:left="403"/>
        <w:jc w:val="left"/>
        <w:rPr/>
      </w:pPr>
      <w:r>
        <w:rPr>
          <w:rFonts w:ascii="맑은 고딕" w:hAnsi="맑은 고딕" w:eastAsia="맑은 고딕" w:cs="맑은 고딕"/>
          <w:sz w:val="17"/>
          <w:szCs w:val="17"/>
        </w:rPr>
        <w:t xml:space="preserve">Hannay, J. E., Stolpe, A., &amp; Yamin, M. M. (2021). Toward AI-Based Scenario Management for Cyber Range Training. Springer LNCS.</w:t>
      </w:r>
      <w:r/>
    </w:p>
    <w:p>
      <w:pPr>
        <w:pBdr/>
        <w:spacing w:after="60" w:line="252" w:lineRule="auto"/>
        <w:ind w:hanging="403" w:left="403"/>
        <w:jc w:val="left"/>
        <w:rPr/>
      </w:pPr>
      <w:r>
        <w:rPr>
          <w:rFonts w:ascii="맑은 고딕" w:hAnsi="맑은 고딕" w:eastAsia="맑은 고딕" w:cs="맑은 고딕"/>
          <w:sz w:val="17"/>
          <w:szCs w:val="17"/>
        </w:rPr>
        <w:t xml:space="preserve">Zacharis, A., &amp; Patsakis, C. (2023). AiCEF: An AI-assisted cyber exercise content generation framework using named entity recognition. International Journal of Information Security.</w:t>
      </w:r>
      <w:r/>
    </w:p>
    <w:p>
      <w:pPr>
        <w:pBdr/>
        <w:spacing w:after="60" w:line="252" w:lineRule="auto"/>
        <w:ind w:hanging="403" w:left="403"/>
        <w:jc w:val="left"/>
        <w:rPr/>
      </w:pPr>
      <w:r>
        <w:rPr>
          <w:rFonts w:ascii="맑은 고딕" w:hAnsi="맑은 고딕" w:eastAsia="맑은 고딕" w:cs="맑은 고딕"/>
          <w:sz w:val="17"/>
          <w:szCs w:val="17"/>
        </w:rPr>
        <w:t xml:space="preserve">Kunz, T., Fisher, C., La Novara-Gsell, J., Nguyen, C., &amp; Li, L. (2023). A Multiagent CyberBattleSim for RL Cyber Operation Agents. IEEE / DRDC.</w:t>
      </w:r>
      <w:r/>
    </w:p>
    <w:p>
      <w:pPr>
        <w:pBdr/>
        <w:spacing w:after="60" w:line="252" w:lineRule="auto"/>
        <w:ind w:hanging="403" w:left="403"/>
        <w:jc w:val="left"/>
        <w:rPr/>
      </w:pPr>
      <w:r>
        <w:rPr>
          <w:rFonts w:ascii="맑은 고딕" w:hAnsi="맑은 고딕" w:eastAsia="맑은 고딕" w:cs="맑은 고딕"/>
          <w:sz w:val="17"/>
          <w:szCs w:val="17"/>
        </w:rPr>
        <w:t xml:space="preserve">Rodriguez, A. M., Acosta, J., Kotal, A., &amp; Piplai, A. (2025). AgentCyTE: Leveraging Agentic AI to Generate Cybersecurity Training &amp; Experimentation Scenarios. arXiv:2510.25189.</w:t>
      </w:r>
      <w:r/>
    </w:p>
    <w:p>
      <w:pPr>
        <w:pBdr/>
        <w:spacing w:after="60" w:line="252" w:lineRule="auto"/>
        <w:ind w:hanging="403" w:left="403"/>
        <w:jc w:val="left"/>
        <w:rPr/>
      </w:pPr>
      <w:r>
        <w:rPr>
          <w:rFonts w:ascii="맑은 고딕" w:hAnsi="맑은 고딕" w:eastAsia="맑은 고딕" w:cs="맑은 고딕"/>
          <w:sz w:val="17"/>
          <w:szCs w:val="17"/>
        </w:rPr>
        <w:t xml:space="preserve">Jacq, O., Giménez Salazar, P., Parasuraman, K., Kuusijärvi, J., Gkaniatsou, A., Latsa, E., &amp; Amditis, A. (2021). The Cyber-MAR Project: First Results and Perspectives on the Use of Hybrid Cyber Ranges for Port Cyber Risk Assessment. IEEE CSR Workshops.</w:t>
      </w:r>
      <w:r/>
    </w:p>
    <w:p>
      <w:pPr>
        <w:pBdr/>
        <w:spacing w:after="60" w:line="252" w:lineRule="auto"/>
        <w:ind w:hanging="403" w:left="403"/>
        <w:jc w:val="left"/>
        <w:rPr/>
      </w:pPr>
      <w:r>
        <w:rPr>
          <w:rFonts w:ascii="맑은 고딕" w:hAnsi="맑은 고딕" w:eastAsia="맑은 고딕" w:cs="맑은 고딕"/>
          <w:sz w:val="17"/>
          <w:szCs w:val="17"/>
        </w:rPr>
        <w:t xml:space="preserve">Tam, K., Moara-Nkwe, K., &amp; Jones, K. D. (2021). The use of cyber ranges in the maritime context: Assessing maritime-cyber risks, raising awareness, and providing training. Maritime Technology and Research, 3(1), 16-30.</w:t>
      </w:r>
      <w:r/>
    </w:p>
    <w:sectPr>
      <w:footnotePr/>
      <w:endnotePr/>
      <w:type w:val="nextPage"/>
      <w:pgSz w:h="16838" w:orient="portrait" w:w="11906"/>
      <w:pgMar w:top="900" w:right="1000" w:bottom="9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2026-07-30T07:20:07Z</dcterms:created>
  <dcterms:modified xsi:type="dcterms:W3CDTF">2026-07-30T07:39:05Z</dcterms:modified>
</cp:coreProperties>
</file>