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Spatial patterns of cortical tau pathology differ by age, sex, and type II diabetes </w:t>
      </w:r>
      <w:r w:rsidDel="00000000" w:rsidR="00000000" w:rsidRPr="00000000">
        <w:rPr>
          <w:b w:val="1"/>
          <w:rtl w:val="0"/>
        </w:rPr>
        <w:t xml:space="preserve">status</w:t>
      </w:r>
      <w:r w:rsidDel="00000000" w:rsidR="00000000" w:rsidRPr="00000000">
        <w:rPr>
          <w:b w:val="1"/>
          <w:rtl w:val="0"/>
        </w:rPr>
        <w:t xml:space="preserve"> in a multiethnic study of cognitively impaired older adults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Authors:</w:t>
      </w:r>
    </w:p>
    <w:p w:rsidR="00000000" w:rsidDel="00000000" w:rsidP="00000000" w:rsidRDefault="00000000" w:rsidRPr="00000000" w14:paraId="00000004">
      <w:pPr>
        <w:rPr/>
      </w:pPr>
      <w:r w:rsidDel="00000000" w:rsidR="00000000" w:rsidRPr="00000000">
        <w:rPr>
          <w:rtl w:val="0"/>
        </w:rPr>
        <w:t xml:space="preserve">Brandon Hall</w:t>
      </w:r>
      <w:r w:rsidDel="00000000" w:rsidR="00000000" w:rsidRPr="00000000">
        <w:rPr>
          <w:highlight w:val="white"/>
          <w:vertAlign w:val="superscript"/>
          <w:rtl w:val="0"/>
        </w:rPr>
        <w:t xml:space="preserve">1</w:t>
      </w:r>
      <w:r w:rsidDel="00000000" w:rsidR="00000000" w:rsidRPr="00000000">
        <w:rPr>
          <w:rtl w:val="0"/>
        </w:rPr>
        <w:t xml:space="preserve">, </w:t>
      </w:r>
      <w:r w:rsidDel="00000000" w:rsidR="00000000" w:rsidRPr="00000000">
        <w:rPr>
          <w:highlight w:val="white"/>
          <w:rtl w:val="0"/>
        </w:rPr>
        <w:t xml:space="preserve">Meral Tubi</w:t>
      </w:r>
      <w:r w:rsidDel="00000000" w:rsidR="00000000" w:rsidRPr="00000000">
        <w:rPr>
          <w:highlight w:val="white"/>
          <w:vertAlign w:val="superscript"/>
          <w:rtl w:val="0"/>
        </w:rPr>
        <w:t xml:space="preserve">1</w:t>
      </w:r>
      <w:r w:rsidDel="00000000" w:rsidR="00000000" w:rsidRPr="00000000">
        <w:rPr>
          <w:highlight w:val="white"/>
          <w:rtl w:val="0"/>
        </w:rPr>
        <w:t xml:space="preserve">, </w:t>
      </w:r>
      <w:r w:rsidDel="00000000" w:rsidR="00000000" w:rsidRPr="00000000">
        <w:rPr>
          <w:rtl w:val="0"/>
        </w:rPr>
        <w:t xml:space="preserve">Noelle Lee</w:t>
      </w:r>
      <w:r w:rsidDel="00000000" w:rsidR="00000000" w:rsidRPr="00000000">
        <w:rPr>
          <w:highlight w:val="white"/>
          <w:vertAlign w:val="superscript"/>
          <w:rtl w:val="0"/>
        </w:rPr>
        <w:t xml:space="preserve">1</w:t>
      </w:r>
      <w:r w:rsidDel="00000000" w:rsidR="00000000" w:rsidRPr="00000000">
        <w:rPr>
          <w:highlight w:val="white"/>
          <w:rtl w:val="0"/>
        </w:rPr>
        <w:t xml:space="preserve">,</w:t>
      </w:r>
      <w:r w:rsidDel="00000000" w:rsidR="00000000" w:rsidRPr="00000000">
        <w:rPr>
          <w:highlight w:val="white"/>
          <w:vertAlign w:val="subscript"/>
          <w:rtl w:val="0"/>
        </w:rPr>
        <w:t xml:space="preserve"> </w:t>
      </w:r>
      <w:r w:rsidDel="00000000" w:rsidR="00000000" w:rsidRPr="00000000">
        <w:rPr>
          <w:highlight w:val="white"/>
          <w:rtl w:val="0"/>
        </w:rPr>
        <w:t xml:space="preserve">Victoria Tennant</w:t>
      </w:r>
      <w:r w:rsidDel="00000000" w:rsidR="00000000" w:rsidRPr="00000000">
        <w:rPr>
          <w:highlight w:val="white"/>
          <w:vertAlign w:val="superscript"/>
          <w:rtl w:val="0"/>
        </w:rPr>
        <w:t xml:space="preserve">1</w:t>
      </w:r>
      <w:r w:rsidDel="00000000" w:rsidR="00000000" w:rsidRPr="00000000">
        <w:rPr>
          <w:highlight w:val="white"/>
          <w:rtl w:val="0"/>
        </w:rPr>
        <w:t xml:space="preserve">, </w:t>
      </w:r>
      <w:r w:rsidDel="00000000" w:rsidR="00000000" w:rsidRPr="00000000">
        <w:rPr>
          <w:rtl w:val="0"/>
        </w:rPr>
        <w:t xml:space="preserve">Koral Wheeler</w:t>
      </w:r>
      <w:r w:rsidDel="00000000" w:rsidR="00000000" w:rsidRPr="00000000">
        <w:rPr>
          <w:highlight w:val="white"/>
          <w:vertAlign w:val="superscript"/>
          <w:rtl w:val="0"/>
        </w:rPr>
        <w:t xml:space="preserve">1</w:t>
      </w:r>
      <w:r w:rsidDel="00000000" w:rsidR="00000000" w:rsidRPr="00000000">
        <w:rPr>
          <w:highlight w:val="white"/>
          <w:rtl w:val="0"/>
        </w:rPr>
        <w:t xml:space="preserve">, </w:t>
      </w:r>
      <w:r w:rsidDel="00000000" w:rsidR="00000000" w:rsidRPr="00000000">
        <w:rPr>
          <w:rtl w:val="0"/>
        </w:rPr>
        <w:t xml:space="preserve">Arthur W Toga</w:t>
      </w:r>
      <w:r w:rsidDel="00000000" w:rsidR="00000000" w:rsidRPr="00000000">
        <w:rPr>
          <w:highlight w:val="white"/>
          <w:vertAlign w:val="superscript"/>
          <w:rtl w:val="0"/>
        </w:rPr>
        <w:t xml:space="preserve">2</w:t>
      </w:r>
      <w:r w:rsidDel="00000000" w:rsidR="00000000" w:rsidRPr="00000000">
        <w:rPr>
          <w:rtl w:val="0"/>
        </w:rPr>
        <w:t xml:space="preserve">,, </w:t>
      </w:r>
      <w:r w:rsidDel="00000000" w:rsidR="00000000" w:rsidRPr="00000000">
        <w:rPr>
          <w:highlight w:val="white"/>
          <w:rtl w:val="0"/>
        </w:rPr>
        <w:t xml:space="preserve">Leigh Johnson</w:t>
      </w:r>
      <w:r w:rsidDel="00000000" w:rsidR="00000000" w:rsidRPr="00000000">
        <w:rPr>
          <w:highlight w:val="white"/>
          <w:vertAlign w:val="superscript"/>
          <w:rtl w:val="0"/>
        </w:rPr>
        <w:t xml:space="preserve">4</w:t>
      </w:r>
      <w:r w:rsidDel="00000000" w:rsidR="00000000" w:rsidRPr="00000000">
        <w:rPr>
          <w:rtl w:val="0"/>
        </w:rPr>
        <w:t xml:space="preserve">, </w:t>
      </w:r>
      <w:r w:rsidDel="00000000" w:rsidR="00000000" w:rsidRPr="00000000">
        <w:rPr>
          <w:rtl w:val="0"/>
        </w:rPr>
        <w:t xml:space="preserve">Rajesh Nandy</w:t>
      </w:r>
      <w:r w:rsidDel="00000000" w:rsidR="00000000" w:rsidRPr="00000000">
        <w:rPr>
          <w:highlight w:val="white"/>
          <w:vertAlign w:val="superscript"/>
          <w:rtl w:val="0"/>
        </w:rPr>
        <w:t xml:space="preserve">4</w:t>
      </w:r>
      <w:r w:rsidDel="00000000" w:rsidR="00000000" w:rsidRPr="00000000">
        <w:rPr>
          <w:i w:val="1"/>
          <w:rtl w:val="0"/>
        </w:rPr>
        <w:t xml:space="preserve">, </w:t>
      </w:r>
      <w:r w:rsidDel="00000000" w:rsidR="00000000" w:rsidRPr="00000000">
        <w:rPr>
          <w:rtl w:val="0"/>
        </w:rPr>
        <w:t xml:space="preserve">Raul Vintimilla</w:t>
      </w:r>
      <w:r w:rsidDel="00000000" w:rsidR="00000000" w:rsidRPr="00000000">
        <w:rPr>
          <w:highlight w:val="white"/>
          <w:vertAlign w:val="superscript"/>
          <w:rtl w:val="0"/>
        </w:rPr>
        <w:t xml:space="preserve">4</w:t>
      </w:r>
      <w:r w:rsidDel="00000000" w:rsidR="00000000" w:rsidRPr="00000000">
        <w:rPr>
          <w:rtl w:val="0"/>
        </w:rPr>
        <w:t xml:space="preserve">, Rocky Vig</w:t>
      </w:r>
      <w:r w:rsidDel="00000000" w:rsidR="00000000" w:rsidRPr="00000000">
        <w:rPr>
          <w:highlight w:val="white"/>
          <w:vertAlign w:val="superscript"/>
          <w:rtl w:val="0"/>
        </w:rPr>
        <w:t xml:space="preserve">5</w:t>
      </w:r>
      <w:r w:rsidDel="00000000" w:rsidR="00000000" w:rsidRPr="00000000">
        <w:rPr>
          <w:rtl w:val="0"/>
        </w:rPr>
        <w:t xml:space="preserve">, Sid E. O’Bryant</w:t>
      </w:r>
      <w:r w:rsidDel="00000000" w:rsidR="00000000" w:rsidRPr="00000000">
        <w:rPr>
          <w:highlight w:val="white"/>
          <w:vertAlign w:val="superscript"/>
          <w:rtl w:val="0"/>
        </w:rPr>
        <w:t xml:space="preserve">4</w:t>
      </w:r>
      <w:r w:rsidDel="00000000" w:rsidR="00000000" w:rsidRPr="00000000">
        <w:rPr>
          <w:rtl w:val="0"/>
        </w:rPr>
        <w:t xml:space="preserve">, </w:t>
      </w:r>
      <w:r w:rsidDel="00000000" w:rsidR="00000000" w:rsidRPr="00000000">
        <w:rPr>
          <w:rtl w:val="0"/>
        </w:rPr>
        <w:t xml:space="preserve">Kristine Yaffe</w:t>
      </w:r>
      <w:r w:rsidDel="00000000" w:rsidR="00000000" w:rsidRPr="00000000">
        <w:rPr>
          <w:highlight w:val="white"/>
          <w:vertAlign w:val="superscript"/>
          <w:rtl w:val="0"/>
        </w:rPr>
        <w:t xml:space="preserve">3, </w:t>
      </w:r>
      <w:r w:rsidDel="00000000" w:rsidR="00000000" w:rsidRPr="00000000">
        <w:rPr>
          <w:rtl w:val="0"/>
        </w:rPr>
        <w:t xml:space="preserve">Meredith N Braskie</w:t>
      </w:r>
      <w:r w:rsidDel="00000000" w:rsidR="00000000" w:rsidRPr="00000000">
        <w:rPr>
          <w:highlight w:val="white"/>
          <w:vertAlign w:val="superscript"/>
          <w:rtl w:val="0"/>
        </w:rPr>
        <w:t xml:space="preserve">1</w:t>
      </w:r>
      <w:r w:rsidDel="00000000" w:rsidR="00000000" w:rsidRPr="00000000">
        <w:rPr>
          <w:rtl w:val="0"/>
        </w:rPr>
        <w:t xml:space="preserve"> for the </w:t>
      </w:r>
      <w:r w:rsidDel="00000000" w:rsidR="00000000" w:rsidRPr="00000000">
        <w:rPr>
          <w:rtl w:val="0"/>
        </w:rPr>
        <w:t xml:space="preserve">HABS-HD Study </w:t>
      </w:r>
      <w:r w:rsidDel="00000000" w:rsidR="00000000" w:rsidRPr="00000000">
        <w:rPr>
          <w:rtl w:val="0"/>
        </w:rPr>
        <w:t xml:space="preserve">Team</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jc w:val="both"/>
        <w:rPr>
          <w:sz w:val="18"/>
          <w:szCs w:val="18"/>
          <w:highlight w:val="white"/>
        </w:rPr>
      </w:pPr>
      <w:r w:rsidDel="00000000" w:rsidR="00000000" w:rsidRPr="00000000">
        <w:rPr>
          <w:sz w:val="18"/>
          <w:szCs w:val="18"/>
          <w:highlight w:val="white"/>
          <w:rtl w:val="0"/>
        </w:rPr>
        <w:t xml:space="preserve">Imaging Genetics Center, Mark and Mary Stevens Neuroimaging and Informatics Institute, Keck School of Medicine, University of Southern California, Marina del Rey, CA, USA.</w:t>
      </w:r>
    </w:p>
    <w:p w:rsidR="00000000" w:rsidDel="00000000" w:rsidP="00000000" w:rsidRDefault="00000000" w:rsidRPr="00000000" w14:paraId="00000007">
      <w:pPr>
        <w:numPr>
          <w:ilvl w:val="0"/>
          <w:numId w:val="1"/>
        </w:numPr>
        <w:spacing w:line="276" w:lineRule="auto"/>
        <w:ind w:left="720" w:hanging="360"/>
        <w:jc w:val="both"/>
        <w:rPr>
          <w:sz w:val="18"/>
          <w:szCs w:val="18"/>
          <w:highlight w:val="white"/>
        </w:rPr>
      </w:pPr>
      <w:r w:rsidDel="00000000" w:rsidR="00000000" w:rsidRPr="00000000">
        <w:rPr>
          <w:sz w:val="18"/>
          <w:szCs w:val="18"/>
          <w:highlight w:val="white"/>
          <w:rtl w:val="0"/>
        </w:rPr>
        <w:t xml:space="preserve">Laboratory of Neuro Imaging USC Stevens Neuroimaging and Informatics Institute Keck School of Medicine of USC University of Southern California Los Angeles California USA.</w:t>
      </w:r>
    </w:p>
    <w:p w:rsidR="00000000" w:rsidDel="00000000" w:rsidP="00000000" w:rsidRDefault="00000000" w:rsidRPr="00000000" w14:paraId="00000008">
      <w:pPr>
        <w:numPr>
          <w:ilvl w:val="0"/>
          <w:numId w:val="1"/>
        </w:numPr>
        <w:spacing w:line="276" w:lineRule="auto"/>
        <w:ind w:left="720" w:hanging="360"/>
        <w:jc w:val="both"/>
        <w:rPr>
          <w:sz w:val="18"/>
          <w:szCs w:val="18"/>
          <w:highlight w:val="white"/>
          <w:u w:val="none"/>
        </w:rPr>
      </w:pPr>
      <w:r w:rsidDel="00000000" w:rsidR="00000000" w:rsidRPr="00000000">
        <w:rPr>
          <w:sz w:val="18"/>
          <w:szCs w:val="18"/>
          <w:highlight w:val="white"/>
          <w:rtl w:val="0"/>
        </w:rPr>
        <w:t xml:space="preserve">Department of Psychiatry, Neurology, and Epidemiology and Biostatistics University of California San Francisco California USA.</w:t>
      </w:r>
    </w:p>
    <w:p w:rsidR="00000000" w:rsidDel="00000000" w:rsidP="00000000" w:rsidRDefault="00000000" w:rsidRPr="00000000" w14:paraId="00000009">
      <w:pPr>
        <w:numPr>
          <w:ilvl w:val="0"/>
          <w:numId w:val="1"/>
        </w:numPr>
        <w:spacing w:line="276" w:lineRule="auto"/>
        <w:ind w:left="720" w:hanging="360"/>
        <w:jc w:val="both"/>
        <w:rPr>
          <w:sz w:val="18"/>
          <w:szCs w:val="18"/>
          <w:highlight w:val="white"/>
        </w:rPr>
      </w:pPr>
      <w:r w:rsidDel="00000000" w:rsidR="00000000" w:rsidRPr="00000000">
        <w:rPr>
          <w:sz w:val="18"/>
          <w:szCs w:val="18"/>
          <w:highlight w:val="white"/>
          <w:rtl w:val="0"/>
        </w:rPr>
        <w:t xml:space="preserve">Institute for Translational Research University of North Texas Health Science Center Fort Worth Texas USA.</w:t>
      </w:r>
    </w:p>
    <w:p w:rsidR="00000000" w:rsidDel="00000000" w:rsidP="00000000" w:rsidRDefault="00000000" w:rsidRPr="00000000" w14:paraId="0000000A">
      <w:pPr>
        <w:numPr>
          <w:ilvl w:val="0"/>
          <w:numId w:val="1"/>
        </w:numPr>
        <w:spacing w:line="276" w:lineRule="auto"/>
        <w:ind w:left="720" w:hanging="360"/>
        <w:jc w:val="both"/>
        <w:rPr>
          <w:sz w:val="18"/>
          <w:szCs w:val="18"/>
          <w:highlight w:val="white"/>
        </w:rPr>
      </w:pPr>
      <w:r w:rsidDel="00000000" w:rsidR="00000000" w:rsidRPr="00000000">
        <w:rPr>
          <w:color w:val="212121"/>
          <w:sz w:val="18"/>
          <w:szCs w:val="18"/>
          <w:highlight w:val="white"/>
          <w:rtl w:val="0"/>
        </w:rPr>
        <w:t xml:space="preserve">Imaging Midtown Medical Imaging Fort Worth Texas USA.</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Keywords</w:t>
      </w:r>
      <w:r w:rsidDel="00000000" w:rsidR="00000000" w:rsidRPr="00000000">
        <w:rPr>
          <w:rtl w:val="0"/>
        </w:rPr>
        <w:t xml:space="preserve">: Alzheimer’s disease, Mild Cognitive Impairment, heterogeneity, tau, diabetes, sex, subtype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Background</w:t>
      </w:r>
    </w:p>
    <w:p w:rsidR="00000000" w:rsidDel="00000000" w:rsidP="00000000" w:rsidRDefault="00000000" w:rsidRPr="00000000" w14:paraId="00000010">
      <w:pPr>
        <w:ind w:firstLine="720"/>
        <w:rPr/>
      </w:pPr>
      <w:r w:rsidDel="00000000" w:rsidR="00000000" w:rsidRPr="00000000">
        <w:rPr>
          <w:rtl w:val="0"/>
        </w:rPr>
        <w:t xml:space="preserve">Neurofibrillary tau accumulation is a pathological hallmark of Alzheimer’s disease (AD). The spatial pattern of tau varies and has been categorized into 4 patterns: typical, limbic predominant (LP), hippocampal sparing (HS), and sub-median tau (SMT)</w:t>
      </w:r>
      <w:r w:rsidDel="00000000" w:rsidR="00000000" w:rsidRPr="00000000">
        <w:rPr>
          <w:vertAlign w:val="superscript"/>
          <w:rtl w:val="0"/>
        </w:rPr>
        <w:t xml:space="preserve">2</w:t>
      </w:r>
      <w:r w:rsidDel="00000000" w:rsidR="00000000" w:rsidRPr="00000000">
        <w:rPr>
          <w:rtl w:val="0"/>
        </w:rPr>
        <w:t xml:space="preserve">. These patterns differ by age of onset, mean age, disease duration, and symptom profiles</w:t>
      </w:r>
      <w:r w:rsidDel="00000000" w:rsidR="00000000" w:rsidRPr="00000000">
        <w:rPr>
          <w:vertAlign w:val="superscript"/>
          <w:rtl w:val="0"/>
        </w:rPr>
        <w:t xml:space="preserve">2</w:t>
      </w:r>
      <w:r w:rsidDel="00000000" w:rsidR="00000000" w:rsidRPr="00000000">
        <w:rPr>
          <w:rtl w:val="0"/>
        </w:rPr>
        <w:t xml:space="preserve">. Some metabolic risk factors for AD, such as </w:t>
      </w:r>
      <w:r w:rsidDel="00000000" w:rsidR="00000000" w:rsidRPr="00000000">
        <w:rPr>
          <w:rtl w:val="0"/>
        </w:rPr>
        <w:t xml:space="preserve">type 2 diabetes (T2DM)</w:t>
      </w:r>
      <w:r w:rsidDel="00000000" w:rsidR="00000000" w:rsidRPr="00000000">
        <w:rPr>
          <w:rtl w:val="0"/>
        </w:rPr>
        <w:t xml:space="preserve">,</w:t>
      </w:r>
      <w:r w:rsidDel="00000000" w:rsidR="00000000" w:rsidRPr="00000000">
        <w:rPr>
          <w:rtl w:val="0"/>
        </w:rPr>
        <w:t xml:space="preserve"> have also correlated with </w:t>
      </w:r>
      <w:r w:rsidDel="00000000" w:rsidR="00000000" w:rsidRPr="00000000">
        <w:rPr>
          <w:rtl w:val="0"/>
        </w:rPr>
        <w:t xml:space="preserve">increased tau neuropathology</w:t>
      </w:r>
      <w:r w:rsidDel="00000000" w:rsidR="00000000" w:rsidRPr="00000000">
        <w:rPr>
          <w:vertAlign w:val="superscript"/>
          <w:rtl w:val="0"/>
        </w:rPr>
        <w:t xml:space="preserve">3</w:t>
      </w:r>
      <w:r w:rsidDel="00000000" w:rsidR="00000000" w:rsidRPr="00000000">
        <w:rPr>
          <w:rtl w:val="0"/>
        </w:rPr>
        <w:t xml:space="preserve">. </w:t>
      </w:r>
      <w:r w:rsidDel="00000000" w:rsidR="00000000" w:rsidRPr="00000000">
        <w:rPr>
          <w:rtl w:val="0"/>
        </w:rPr>
        <w:t xml:space="preserve">To study how these factors may relate to tau patterns in AD, we </w:t>
      </w:r>
      <w:r w:rsidDel="00000000" w:rsidR="00000000" w:rsidRPr="00000000">
        <w:rPr>
          <w:rtl w:val="0"/>
        </w:rPr>
        <w:t xml:space="preserve">c</w:t>
      </w:r>
      <w:r w:rsidDel="00000000" w:rsidR="00000000" w:rsidRPr="00000000">
        <w:rPr>
          <w:rtl w:val="0"/>
        </w:rPr>
        <w:t xml:space="preserve">reated classification models to identify differences in BMI, hypertension, and T2DM between tau patterns in older adults with MCI and AD.</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Method</w:t>
      </w:r>
    </w:p>
    <w:p w:rsidR="00000000" w:rsidDel="00000000" w:rsidP="00000000" w:rsidRDefault="00000000" w:rsidRPr="00000000" w14:paraId="00000013">
      <w:pPr>
        <w:ind w:firstLine="720"/>
        <w:rPr/>
      </w:pPr>
      <w:r w:rsidDel="00000000" w:rsidR="00000000" w:rsidRPr="00000000">
        <w:rPr>
          <w:rtl w:val="0"/>
        </w:rPr>
        <w:t xml:space="preserve">We examined PI2620 tau PET images for 222 participants diagnosed with MCI or AD from the Health and Aging Brain – Health Disparities cohort (</w:t>
      </w:r>
      <w:r w:rsidDel="00000000" w:rsidR="00000000" w:rsidRPr="00000000">
        <w:rPr>
          <w:b w:val="1"/>
          <w:rtl w:val="0"/>
        </w:rPr>
        <w:t xml:space="preserve">Table 1</w:t>
      </w:r>
      <w:r w:rsidDel="00000000" w:rsidR="00000000" w:rsidRPr="00000000">
        <w:rPr>
          <w:rtl w:val="0"/>
        </w:rPr>
        <w:t xml:space="preserve">)</w:t>
      </w:r>
      <w:r w:rsidDel="00000000" w:rsidR="00000000" w:rsidRPr="00000000">
        <w:rPr>
          <w:rtl w:val="0"/>
        </w:rPr>
        <w:t xml:space="preserve">. We used Freesurfer v5.3 to segment T1 MRI and generated regional standard uptake value ratio values with the inferior cerebellar gray matter as a reference region. Based on previous studies</w:t>
      </w:r>
      <w:r w:rsidDel="00000000" w:rsidR="00000000" w:rsidRPr="00000000">
        <w:rPr>
          <w:vertAlign w:val="superscript"/>
          <w:rtl w:val="0"/>
        </w:rPr>
        <w:t xml:space="preserve">4</w:t>
      </w:r>
      <w:r w:rsidDel="00000000" w:rsidR="00000000" w:rsidRPr="00000000">
        <w:rPr>
          <w:rtl w:val="0"/>
        </w:rPr>
        <w:t xml:space="preserve">,</w:t>
      </w:r>
      <w:r w:rsidDel="00000000" w:rsidR="00000000" w:rsidRPr="00000000">
        <w:rPr>
          <w:vertAlign w:val="superscript"/>
          <w:rtl w:val="0"/>
        </w:rPr>
        <w:t xml:space="preserve">,</w:t>
      </w:r>
      <w:r w:rsidDel="00000000" w:rsidR="00000000" w:rsidRPr="00000000">
        <w:rPr>
          <w:rtl w:val="0"/>
        </w:rPr>
        <w:t xml:space="preserve"> we categorized participants’ tau pathology into patterns (</w:t>
      </w:r>
      <w:r w:rsidDel="00000000" w:rsidR="00000000" w:rsidRPr="00000000">
        <w:rPr>
          <w:b w:val="1"/>
          <w:rtl w:val="0"/>
        </w:rPr>
        <w:t xml:space="preserve">Figure 2</w:t>
      </w:r>
      <w:r w:rsidDel="00000000" w:rsidR="00000000" w:rsidRPr="00000000">
        <w:rPr>
          <w:rtl w:val="0"/>
        </w:rPr>
        <w:t xml:space="preserve">). In separate multinomial logistic regression models adjusting for age and sex (using R 4.2),</w:t>
      </w:r>
      <w:r w:rsidDel="00000000" w:rsidR="00000000" w:rsidRPr="00000000">
        <w:rPr>
          <w:rtl w:val="0"/>
        </w:rPr>
        <w:t xml:space="preserve"> we measured whether hypertension, T2DM, and BMI differentiated the participants’ tau patterns</w:t>
      </w:r>
      <w:r w:rsidDel="00000000" w:rsidR="00000000" w:rsidRPr="00000000">
        <w:rPr>
          <w:rtl w:val="0"/>
        </w:rPr>
        <w:t xml:space="preserve">. </w:t>
      </w:r>
      <w:r w:rsidDel="00000000" w:rsidR="00000000" w:rsidRPr="00000000">
        <w:rPr>
          <w:rtl w:val="0"/>
        </w:rPr>
        <w:t xml:space="preserve">Welch’s t-tests </w:t>
      </w:r>
      <w:r w:rsidDel="00000000" w:rsidR="00000000" w:rsidRPr="00000000">
        <w:rPr>
          <w:rtl w:val="0"/>
        </w:rPr>
        <w:t xml:space="preserve">were used to directly compare factors that were significant predictors in a given pairwise comparison (eg, HS vs LP).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See </w:t>
      </w:r>
      <w:r w:rsidDel="00000000" w:rsidR="00000000" w:rsidRPr="00000000">
        <w:rPr>
          <w:b w:val="1"/>
          <w:rtl w:val="0"/>
        </w:rPr>
        <w:t xml:space="preserve">Table 1 </w:t>
      </w:r>
      <w:r w:rsidDel="00000000" w:rsidR="00000000" w:rsidRPr="00000000">
        <w:rPr>
          <w:rtl w:val="0"/>
        </w:rPr>
        <w:t xml:space="preserve">for the sample distribution of tau patterns. </w:t>
      </w:r>
      <w:r w:rsidDel="00000000" w:rsidR="00000000" w:rsidRPr="00000000">
        <w:rPr>
          <w:rtl w:val="0"/>
        </w:rPr>
        <w:t xml:space="preserve">HS participants were more likely to have T2DM (44% vs 25%, p = 0.009) (</w:t>
      </w:r>
      <w:r w:rsidDel="00000000" w:rsidR="00000000" w:rsidRPr="00000000">
        <w:rPr>
          <w:b w:val="1"/>
          <w:rtl w:val="0"/>
        </w:rPr>
        <w:t xml:space="preserve">Figure 2</w:t>
      </w:r>
      <w:r w:rsidDel="00000000" w:rsidR="00000000" w:rsidRPr="00000000">
        <w:rPr>
          <w:rtl w:val="0"/>
        </w:rPr>
        <w:t xml:space="preserve">) and had a higher BMI (36.0 vs 31.3; t = 2.0, p = 0.</w:t>
      </w:r>
      <w:r w:rsidDel="00000000" w:rsidR="00000000" w:rsidRPr="00000000">
        <w:rPr>
          <w:rtl w:val="0"/>
        </w:rPr>
        <w:t xml:space="preserve">0</w:t>
      </w:r>
      <w:r w:rsidDel="00000000" w:rsidR="00000000" w:rsidRPr="00000000">
        <w:rPr>
          <w:rtl w:val="0"/>
        </w:rPr>
        <w:t xml:space="preserve">496) compared to typical participants (</w:t>
      </w:r>
      <w:r w:rsidDel="00000000" w:rsidR="00000000" w:rsidRPr="00000000">
        <w:rPr>
          <w:b w:val="1"/>
          <w:rtl w:val="0"/>
        </w:rPr>
        <w:t xml:space="preserve">Table 1</w:t>
      </w:r>
      <w:r w:rsidDel="00000000" w:rsidR="00000000" w:rsidRPr="00000000">
        <w:rPr>
          <w:rtl w:val="0"/>
        </w:rPr>
        <w:t xml:space="preserve">). LP and HS patterns differed in both age (LP: 67.7 vs HS: 62.2, t = -2.3, p = 0.03) and sex (LP: 35% female vs HS: 67% female) </w:t>
      </w:r>
      <w:r w:rsidDel="00000000" w:rsidR="00000000" w:rsidRPr="00000000">
        <w:rPr>
          <w:rtl w:val="0"/>
        </w:rPr>
        <w:t xml:space="preserve">(</w:t>
      </w:r>
      <w:r w:rsidDel="00000000" w:rsidR="00000000" w:rsidRPr="00000000">
        <w:rPr>
          <w:b w:val="1"/>
          <w:rtl w:val="0"/>
        </w:rPr>
        <w:t xml:space="preserve">Figure 2</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This study suggests that in an ethnically diverse cohort of older adults with cognitive impairment, sex and T2DM are important features for the differentiation of cortical tau deposition patterns. The HS pattern is of particular interest, as it has the highest proportion of females, the lowest mean age, the highest mean BMI, and the highest proportion of T2DM participants. To better understand why female sex, T2DM diagnosis, and BMI are risk factors for AD, it may be beneficial to focus on this pattern of tau pathology.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Figures</w:t>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155"/>
        <w:gridCol w:w="1710"/>
        <w:gridCol w:w="1770"/>
        <w:gridCol w:w="1560"/>
        <w:gridCol w:w="1395"/>
        <w:tblGridChange w:id="0">
          <w:tblGrid>
            <w:gridCol w:w="1785"/>
            <w:gridCol w:w="1155"/>
            <w:gridCol w:w="1710"/>
            <w:gridCol w:w="1770"/>
            <w:gridCol w:w="1560"/>
            <w:gridCol w:w="1395"/>
          </w:tblGrid>
        </w:tblGridChange>
      </w:tblGrid>
      <w:tr>
        <w:trPr>
          <w:cantSplit w:val="0"/>
          <w:trHeight w:val="309.47753906249994" w:hRule="atLeast"/>
          <w:tblHeader w:val="0"/>
        </w:trPr>
        <w:tc>
          <w:tcPr>
            <w:gridSpan w:val="6"/>
            <w:tcBorders>
              <w:top w:color="000000" w:space="0" w:sz="18" w:val="single"/>
              <w:left w:color="000000" w:space="0" w:sz="18"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b w:val="1"/>
                <w:sz w:val="20"/>
                <w:szCs w:val="20"/>
                <w:rtl w:val="0"/>
              </w:rPr>
              <w:t xml:space="preserve">Table 1</w:t>
            </w:r>
            <w:r w:rsidDel="00000000" w:rsidR="00000000" w:rsidRPr="00000000">
              <w:rPr>
                <w:rtl w:val="0"/>
              </w:rPr>
            </w:r>
          </w:p>
        </w:tc>
      </w:tr>
      <w:tr>
        <w:trPr>
          <w:cantSplit w:val="0"/>
          <w:trHeight w:val="58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sz w:val="20"/>
                <w:szCs w:val="20"/>
                <w:rtl w:val="0"/>
              </w:rPr>
              <w:t xml:space="preserve">Category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widowControl w:val="0"/>
              <w:jc w:val="center"/>
              <w:rPr>
                <w:sz w:val="20"/>
                <w:szCs w:val="20"/>
              </w:rPr>
            </w:pPr>
            <w:r w:rsidDel="00000000" w:rsidR="00000000" w:rsidRPr="00000000">
              <w:rPr>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rtl w:val="0"/>
              </w:rPr>
              <w:t xml:space="preserve">Typical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rtl w:val="0"/>
              </w:rPr>
              <w:t xml:space="preserve">Limbic Predominant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rtl w:val="0"/>
              </w:rPr>
              <w:t xml:space="preserve">Hippocampal Sparing</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rtl w:val="0"/>
              </w:rPr>
              <w:t xml:space="preserve">Sub-median Tau</w:t>
            </w:r>
            <w:r w:rsidDel="00000000" w:rsidR="00000000" w:rsidRPr="00000000">
              <w:rPr>
                <w:rtl w:val="0"/>
              </w:rPr>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b w:val="1"/>
                <w:sz w:val="20"/>
                <w:szCs w:val="20"/>
                <w:rtl w:val="0"/>
              </w:rPr>
              <w:t xml:space="preserve">Demographics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222 (100%)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95 (43%)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30 (13%)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27 (12%)</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70 (32%)</w:t>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Age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64.7 (±8.5)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65.9 (±8.9)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67.7 (±9.4)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62.2 (±9.2)</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62.9 (±6.5)</w:t>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Sex (Female)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117 (53%)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59 (62%)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10 (33%)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18 (67%)</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30 (43%)</w:t>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b w:val="1"/>
                <w:sz w:val="20"/>
                <w:szCs w:val="20"/>
                <w:rtl w:val="0"/>
              </w:rPr>
              <w:t xml:space="preserve">Race/Ethnicity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Hispanic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62 (28%)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34 (36%)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10 (33%)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3 (11%)</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15 (22%)</w:t>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Non-Hispanic White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61 (28%)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25 (26%)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6 (20%)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13 (48%)</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17 (24%)</w:t>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Hispanic Black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3 (1%)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2 (2%)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0 (0)%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0 (0%)</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1 (1%)</w:t>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Non-Hispanic Black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96 (43%)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34 (36%)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14 (47%)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11 (41%)</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37 (53%)</w:t>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b w:val="1"/>
                <w:sz w:val="20"/>
                <w:szCs w:val="20"/>
                <w:rtl w:val="0"/>
              </w:rPr>
              <w:t xml:space="preserve">Cognitive diagnoses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MCI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170 (77%)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73 (77%)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23 (77%)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18 (67%)</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56 (80%)</w:t>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AD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52 (23%)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22 (23%)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7 (23%)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9 (33%)</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14 (20%)</w:t>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b w:val="1"/>
                <w:sz w:val="20"/>
                <w:szCs w:val="20"/>
                <w:rtl w:val="0"/>
              </w:rPr>
              <w:t xml:space="preserve">Metabolic factors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BMI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31.6 (±8.0)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31.3 (±8.4)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31.5 (±6.0)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36.0 (±10.9)</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30.2 (±6.2)</w:t>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Hypertension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162 (72%)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65 (68%)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25 (83%)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23 (85%)</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49 (70%)</w:t>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Diabetes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67 (30%)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24 (25%)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11 (37%)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12 (44%)</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20 (29%)</w:t>
            </w:r>
          </w:p>
        </w:tc>
      </w:tr>
      <w:tr>
        <w:trPr>
          <w:cantSplit w:val="0"/>
          <w:trHeight w:val="720" w:hRule="atLeast"/>
          <w:tblHeader w:val="0"/>
        </w:trPr>
        <w:tc>
          <w:tcPr>
            <w:gridSpan w:val="6"/>
            <w:tcBorders>
              <w:top w:color="cccccc" w:space="0" w:sz="6"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b w:val="1"/>
                <w:sz w:val="18"/>
                <w:szCs w:val="18"/>
                <w:rtl w:val="0"/>
              </w:rPr>
              <w:t xml:space="preserve">Table 1</w:t>
            </w:r>
            <w:r w:rsidDel="00000000" w:rsidR="00000000" w:rsidRPr="00000000">
              <w:rPr>
                <w:sz w:val="18"/>
                <w:szCs w:val="18"/>
                <w:rtl w:val="0"/>
              </w:rPr>
              <w:t xml:space="preserve">: a demographics table that summarizes the characteristics of the sample from the HABS-HD cohort. Acronyms: MCI -- Mild Cognitive Impairment, AD -- Alzheimer's Disease, Typical -- the classic progression of AD pathology from medial temporal to cortical regions, Sub-median tau -- where tau accumulation is below the median of a larger HABS cohort sample in both the hippocampal and neocortical regions (see Figure 1).</w:t>
            </w:r>
            <w:r w:rsidDel="00000000" w:rsidR="00000000" w:rsidRPr="00000000">
              <w:rPr>
                <w:rtl w:val="0"/>
              </w:rPr>
            </w:r>
          </w:p>
        </w:tc>
      </w:tr>
    </w:tbl>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jc w:val="center"/>
        <w:rPr>
          <w:b w:val="1"/>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Figure 1</w:t>
            </w:r>
          </w:p>
        </w:tc>
      </w:tr>
      <w:tr>
        <w:trPr>
          <w:cantSplit w:val="0"/>
          <w:tblHeader w:val="0"/>
        </w:trPr>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Pr>
              <w:drawing>
                <wp:inline distB="114300" distT="114300" distL="114300" distR="114300">
                  <wp:extent cx="5810250" cy="3035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10250" cy="3035300"/>
                          </a:xfrm>
                          <a:prstGeom prst="rect"/>
                          <a:ln/>
                        </pic:spPr>
                      </pic:pic>
                    </a:graphicData>
                  </a:graphic>
                </wp:inline>
              </w:drawing>
            </w:r>
            <w:r w:rsidDel="00000000" w:rsidR="00000000" w:rsidRPr="00000000">
              <w:rPr>
                <w:rtl w:val="0"/>
              </w:rPr>
            </w:r>
          </w:p>
        </w:tc>
      </w:tr>
      <w:tr>
        <w:trPr>
          <w:cantSplit w:val="0"/>
          <w:tblHeader w:val="0"/>
        </w:trPr>
        <w:tc>
          <w:tcPr>
            <w:tcBorders>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z w:val="24"/>
                <w:szCs w:val="24"/>
              </w:rPr>
            </w:pPr>
            <w:r w:rsidDel="00000000" w:rsidR="00000000" w:rsidRPr="00000000">
              <w:rPr>
                <w:b w:val="1"/>
                <w:sz w:val="18"/>
                <w:szCs w:val="18"/>
                <w:rtl w:val="0"/>
              </w:rPr>
              <w:t xml:space="preserve">Figure 2</w:t>
            </w:r>
            <w:r w:rsidDel="00000000" w:rsidR="00000000" w:rsidRPr="00000000">
              <w:rPr>
                <w:sz w:val="18"/>
                <w:szCs w:val="18"/>
                <w:rtl w:val="0"/>
              </w:rPr>
              <w:t xml:space="preserve">: a decision tree representing the algorithm used to categorize participants’ tau pathology into the sub-median tau, typical, limbic predominant, and hippocampal sparing patterns. Median tau is based on a larger cohort of HABS-HD participants that includes 281 cognitively unimpaired, 174 MCI, and 53 AD. These 281 cognitively intact participants were not included in the current study. Of the 227 MCI or AD participants, 4 (4 MCI, 1 AD) were excluded from the study due to incomplete data. </w:t>
            </w:r>
            <w:r w:rsidDel="00000000" w:rsidR="00000000" w:rsidRPr="00000000">
              <w:rPr>
                <w:rtl w:val="0"/>
              </w:rPr>
            </w:r>
          </w:p>
        </w:tc>
      </w:tr>
    </w:tbl>
    <w:p w:rsidR="00000000" w:rsidDel="00000000" w:rsidP="00000000" w:rsidRDefault="00000000" w:rsidRPr="00000000" w14:paraId="00000099">
      <w:pPr>
        <w:jc w:val="center"/>
        <w:rPr>
          <w:b w:val="1"/>
        </w:rPr>
      </w:pPr>
      <w:r w:rsidDel="00000000" w:rsidR="00000000" w:rsidRPr="00000000">
        <w:rPr>
          <w:rtl w:val="0"/>
        </w:rPr>
      </w:r>
    </w:p>
    <w:p w:rsidR="00000000" w:rsidDel="00000000" w:rsidP="00000000" w:rsidRDefault="00000000" w:rsidRPr="00000000" w14:paraId="0000009A">
      <w:pPr>
        <w:jc w:val="center"/>
        <w:rPr>
          <w:b w:val="1"/>
        </w:rPr>
      </w:pPr>
      <w:r w:rsidDel="00000000" w:rsidR="00000000" w:rsidRPr="00000000">
        <w:rPr>
          <w:rtl w:val="0"/>
        </w:rPr>
      </w:r>
    </w:p>
    <w:p w:rsidR="00000000" w:rsidDel="00000000" w:rsidP="00000000" w:rsidRDefault="00000000" w:rsidRPr="00000000" w14:paraId="0000009B">
      <w:pPr>
        <w:jc w:val="center"/>
        <w:rPr>
          <w:b w:val="1"/>
        </w:rPr>
      </w:pPr>
      <w:r w:rsidDel="00000000" w:rsidR="00000000" w:rsidRPr="00000000">
        <w:rPr>
          <w:rtl w:val="0"/>
        </w:rPr>
      </w:r>
    </w:p>
    <w:p w:rsidR="00000000" w:rsidDel="00000000" w:rsidP="00000000" w:rsidRDefault="00000000" w:rsidRPr="00000000" w14:paraId="0000009C">
      <w:pPr>
        <w:jc w:val="center"/>
        <w:rPr>
          <w:b w:val="1"/>
        </w:rPr>
      </w:pPr>
      <w:r w:rsidDel="00000000" w:rsidR="00000000" w:rsidRPr="00000000">
        <w:rPr>
          <w:rtl w:val="0"/>
        </w:rPr>
      </w:r>
    </w:p>
    <w:p w:rsidR="00000000" w:rsidDel="00000000" w:rsidP="00000000" w:rsidRDefault="00000000" w:rsidRPr="00000000" w14:paraId="0000009D">
      <w:pPr>
        <w:jc w:val="center"/>
        <w:rPr>
          <w:b w:val="1"/>
        </w:rPr>
      </w:pPr>
      <w:r w:rsidDel="00000000" w:rsidR="00000000" w:rsidRPr="00000000">
        <w:rPr>
          <w:b w:val="1"/>
        </w:rPr>
        <w:drawing>
          <wp:inline distB="114300" distT="114300" distL="114300" distR="114300">
            <wp:extent cx="6109932" cy="41671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09932" cy="416718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References</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numPr>
          <w:ilvl w:val="0"/>
          <w:numId w:val="2"/>
        </w:numPr>
        <w:spacing w:line="240" w:lineRule="auto"/>
        <w:ind w:left="720" w:hanging="360"/>
        <w:rPr>
          <w:sz w:val="24"/>
          <w:szCs w:val="24"/>
        </w:rPr>
      </w:pPr>
      <w:r w:rsidDel="00000000" w:rsidR="00000000" w:rsidRPr="00000000">
        <w:rPr>
          <w:color w:val="222222"/>
          <w:highlight w:val="white"/>
          <w:rtl w:val="0"/>
        </w:rPr>
        <w:t xml:space="preserve">Abdulrahman, H., van Dalen, J. W., den Brok, M., Latimer, C. S., Larson, E. B., &amp; Richard, E. (2022). Hypertension and Alzheimer's disease pathology at autopsy: A systematic review. </w:t>
      </w:r>
      <w:r w:rsidDel="00000000" w:rsidR="00000000" w:rsidRPr="00000000">
        <w:rPr>
          <w:i w:val="1"/>
          <w:color w:val="222222"/>
          <w:highlight w:val="white"/>
          <w:rtl w:val="0"/>
        </w:rPr>
        <w:t xml:space="preserve">Alzheimer's &amp; Dementia</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18</w:t>
      </w:r>
      <w:r w:rsidDel="00000000" w:rsidR="00000000" w:rsidRPr="00000000">
        <w:rPr>
          <w:color w:val="222222"/>
          <w:highlight w:val="white"/>
          <w:rtl w:val="0"/>
        </w:rPr>
        <w:t xml:space="preserve">(11), 2308-2326.</w:t>
      </w:r>
    </w:p>
    <w:p w:rsidR="00000000" w:rsidDel="00000000" w:rsidP="00000000" w:rsidRDefault="00000000" w:rsidRPr="00000000" w14:paraId="000000A5">
      <w:pPr>
        <w:spacing w:line="240" w:lineRule="auto"/>
        <w:ind w:left="720" w:firstLine="0"/>
        <w:rPr>
          <w:color w:val="222222"/>
          <w:highlight w:val="white"/>
        </w:rPr>
      </w:pPr>
      <w:r w:rsidDel="00000000" w:rsidR="00000000" w:rsidRPr="00000000">
        <w:rPr>
          <w:rtl w:val="0"/>
        </w:rPr>
      </w:r>
    </w:p>
    <w:p w:rsidR="00000000" w:rsidDel="00000000" w:rsidP="00000000" w:rsidRDefault="00000000" w:rsidRPr="00000000" w14:paraId="000000A6">
      <w:pPr>
        <w:numPr>
          <w:ilvl w:val="0"/>
          <w:numId w:val="2"/>
        </w:numPr>
        <w:spacing w:line="240" w:lineRule="auto"/>
        <w:ind w:left="720" w:hanging="360"/>
        <w:rPr>
          <w:u w:val="none"/>
        </w:rPr>
      </w:pPr>
      <w:r w:rsidDel="00000000" w:rsidR="00000000" w:rsidRPr="00000000">
        <w:rPr>
          <w:rtl w:val="0"/>
        </w:rPr>
        <w:t xml:space="preserve">Charil, A., Shcherbinin, S., Southekal, S., Devous, M. D., Mintun, M., Murray, M. E., Miller, B. B., &amp; Schwarz, A. J. (2019). Tau Subtypes of Alzheimer’s Disease Determined in vivo Using </w:t>
      </w:r>
      <w:r w:rsidDel="00000000" w:rsidR="00000000" w:rsidRPr="00000000">
        <w:rPr>
          <w:rtl w:val="0"/>
        </w:rPr>
        <w:t xml:space="preserve">Flortaucipir</w:t>
      </w:r>
      <w:r w:rsidDel="00000000" w:rsidR="00000000" w:rsidRPr="00000000">
        <w:rPr>
          <w:rtl w:val="0"/>
        </w:rPr>
        <w:t xml:space="preserve"> PET Imaging. </w:t>
      </w:r>
      <w:r w:rsidDel="00000000" w:rsidR="00000000" w:rsidRPr="00000000">
        <w:rPr>
          <w:i w:val="1"/>
          <w:rtl w:val="0"/>
        </w:rPr>
        <w:t xml:space="preserve">Journal of Alzheimer’s Disease</w:t>
      </w:r>
      <w:r w:rsidDel="00000000" w:rsidR="00000000" w:rsidRPr="00000000">
        <w:rPr>
          <w:rtl w:val="0"/>
        </w:rPr>
        <w:t xml:space="preserve">, </w:t>
      </w:r>
      <w:r w:rsidDel="00000000" w:rsidR="00000000" w:rsidRPr="00000000">
        <w:rPr>
          <w:i w:val="1"/>
          <w:rtl w:val="0"/>
        </w:rPr>
        <w:t xml:space="preserve">71</w:t>
      </w:r>
      <w:r w:rsidDel="00000000" w:rsidR="00000000" w:rsidRPr="00000000">
        <w:rPr>
          <w:rtl w:val="0"/>
        </w:rPr>
        <w:t xml:space="preserve">(3), 1037–1048.</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https://doi.org/10.3233/JAD-190264</w:t>
        </w:r>
      </w:hyperlink>
      <w:r w:rsidDel="00000000" w:rsidR="00000000" w:rsidRPr="00000000">
        <w:rPr>
          <w:color w:val="1155cc"/>
          <w:u w:val="single"/>
          <w:rtl w:val="0"/>
        </w:rPr>
        <w:t xml:space="preserve"> </w:t>
      </w:r>
    </w:p>
    <w:p w:rsidR="00000000" w:rsidDel="00000000" w:rsidP="00000000" w:rsidRDefault="00000000" w:rsidRPr="00000000" w14:paraId="000000A7">
      <w:pPr>
        <w:spacing w:line="240" w:lineRule="auto"/>
        <w:ind w:left="720" w:firstLine="0"/>
        <w:rPr>
          <w:color w:val="1155cc"/>
          <w:u w:val="single"/>
        </w:rPr>
      </w:pPr>
      <w:r w:rsidDel="00000000" w:rsidR="00000000" w:rsidRPr="00000000">
        <w:rPr>
          <w:rtl w:val="0"/>
        </w:rPr>
      </w:r>
    </w:p>
    <w:p w:rsidR="00000000" w:rsidDel="00000000" w:rsidP="00000000" w:rsidRDefault="00000000" w:rsidRPr="00000000" w14:paraId="000000A8">
      <w:pPr>
        <w:numPr>
          <w:ilvl w:val="0"/>
          <w:numId w:val="2"/>
        </w:numPr>
        <w:spacing w:line="240" w:lineRule="auto"/>
        <w:ind w:left="720" w:hanging="360"/>
        <w:rPr>
          <w:sz w:val="24"/>
          <w:szCs w:val="24"/>
        </w:rPr>
      </w:pPr>
      <w:r w:rsidDel="00000000" w:rsidR="00000000" w:rsidRPr="00000000">
        <w:rPr>
          <w:color w:val="222222"/>
          <w:highlight w:val="white"/>
          <w:rtl w:val="0"/>
        </w:rPr>
        <w:t xml:space="preserve">Michailidis, M., Moraitou, D., Tata, D. A., Kalinderi, K., Papamitsou, T., &amp; Papaliagkas, V. (2022). Alzheimer’s disease as type 3 diabetes: Common pathophysiological mechanisms between Alzheimer’s disease and type 2 diabetes. </w:t>
      </w:r>
      <w:r w:rsidDel="00000000" w:rsidR="00000000" w:rsidRPr="00000000">
        <w:rPr>
          <w:i w:val="1"/>
          <w:color w:val="222222"/>
          <w:highlight w:val="white"/>
          <w:rtl w:val="0"/>
        </w:rPr>
        <w:t xml:space="preserve">International Journal of Molecular Sciences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23</w:t>
      </w:r>
      <w:r w:rsidDel="00000000" w:rsidR="00000000" w:rsidRPr="00000000">
        <w:rPr>
          <w:color w:val="222222"/>
          <w:highlight w:val="white"/>
          <w:rtl w:val="0"/>
        </w:rPr>
        <w:t xml:space="preserve">(5), 2687.</w:t>
      </w:r>
    </w:p>
    <w:p w:rsidR="00000000" w:rsidDel="00000000" w:rsidP="00000000" w:rsidRDefault="00000000" w:rsidRPr="00000000" w14:paraId="000000A9">
      <w:pPr>
        <w:spacing w:line="240" w:lineRule="auto"/>
        <w:ind w:left="720" w:firstLine="0"/>
        <w:rPr>
          <w:color w:val="222222"/>
          <w:highlight w:val="white"/>
        </w:rPr>
      </w:pPr>
      <w:r w:rsidDel="00000000" w:rsidR="00000000" w:rsidRPr="00000000">
        <w:rPr>
          <w:rtl w:val="0"/>
        </w:rPr>
      </w:r>
    </w:p>
    <w:p w:rsidR="00000000" w:rsidDel="00000000" w:rsidP="00000000" w:rsidRDefault="00000000" w:rsidRPr="00000000" w14:paraId="000000AA">
      <w:pPr>
        <w:numPr>
          <w:ilvl w:val="0"/>
          <w:numId w:val="2"/>
        </w:numPr>
        <w:spacing w:line="240" w:lineRule="auto"/>
        <w:ind w:left="720" w:hanging="360"/>
        <w:rPr>
          <w:u w:val="none"/>
        </w:rPr>
      </w:pPr>
      <w:r w:rsidDel="00000000" w:rsidR="00000000" w:rsidRPr="00000000">
        <w:rPr>
          <w:rtl w:val="0"/>
        </w:rPr>
        <w:t xml:space="preserve">Murray, M. E., Graff-Radford, N. R., Ross, O. A., Petersen, R. C., Duara, R., &amp; Dickson, D. W. (2011). Neuropathologically defined subtypes of Alzheimer’s disease with distinct clinical characteristics: A retrospective study. </w:t>
      </w:r>
      <w:r w:rsidDel="00000000" w:rsidR="00000000" w:rsidRPr="00000000">
        <w:rPr>
          <w:i w:val="1"/>
          <w:rtl w:val="0"/>
        </w:rPr>
        <w:t xml:space="preserve">The Lancet Neurology</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(9), 785–796.</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https://doi.org/10.1016/S1474-4422(11)70156-9</w:t>
        </w:r>
      </w:hyperlink>
      <w:r w:rsidDel="00000000" w:rsidR="00000000" w:rsidRPr="00000000">
        <w:rPr>
          <w:rtl w:val="0"/>
        </w:rPr>
      </w:r>
    </w:p>
    <w:p w:rsidR="00000000" w:rsidDel="00000000" w:rsidP="00000000" w:rsidRDefault="00000000" w:rsidRPr="00000000" w14:paraId="000000AB">
      <w:pPr>
        <w:spacing w:line="240" w:lineRule="auto"/>
        <w:ind w:left="720" w:firstLine="0"/>
        <w:rPr>
          <w:color w:val="1155cc"/>
          <w:u w:val="single"/>
        </w:rPr>
      </w:pPr>
      <w:r w:rsidDel="00000000" w:rsidR="00000000" w:rsidRPr="00000000">
        <w:rPr>
          <w:rtl w:val="0"/>
        </w:rPr>
      </w:r>
    </w:p>
    <w:p w:rsidR="00000000" w:rsidDel="00000000" w:rsidP="00000000" w:rsidRDefault="00000000" w:rsidRPr="00000000" w14:paraId="000000AC">
      <w:pPr>
        <w:numPr>
          <w:ilvl w:val="0"/>
          <w:numId w:val="2"/>
        </w:numPr>
        <w:spacing w:line="240" w:lineRule="auto"/>
        <w:ind w:left="720" w:hanging="360"/>
      </w:pPr>
      <w:r w:rsidDel="00000000" w:rsidR="00000000" w:rsidRPr="00000000">
        <w:rPr>
          <w:rtl w:val="0"/>
        </w:rPr>
        <w:t xml:space="preserve">Ratnakumar, A., Zimmerman, S. E., Jordan, B. A., &amp; Mar, J. C. (2019). Estrogen activates Alzheimer’s disease genes. </w:t>
      </w:r>
      <w:r w:rsidDel="00000000" w:rsidR="00000000" w:rsidRPr="00000000">
        <w:rPr>
          <w:i w:val="1"/>
          <w:rtl w:val="0"/>
        </w:rPr>
        <w:t xml:space="preserve">Alzheimer’s &amp; Dementia : Translational Research &amp; Clinical Interventions</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 906–917.</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https://doi.org/10.1016/j.trci.2019.09.004</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16/S1474-4422(11)70156-9" TargetMode="External"/><Relationship Id="rId10" Type="http://schemas.openxmlformats.org/officeDocument/2006/relationships/hyperlink" Target="https://doi.org/10.1016/S1474-4422(11)70156-9" TargetMode="External"/><Relationship Id="rId13" Type="http://schemas.openxmlformats.org/officeDocument/2006/relationships/hyperlink" Target="https://doi.org/10.1016/j.trci.2019.09.004" TargetMode="External"/><Relationship Id="rId12" Type="http://schemas.openxmlformats.org/officeDocument/2006/relationships/hyperlink" Target="https://doi.org/10.1016/j.trci.2019.09.0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3233/JAD-190264"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i.org/10.3233/JAD-1902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