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1A"/>
          <w:sz w:val="32"/>
          <w:szCs w:val="32"/>
        </w:rPr>
        <w:t xml:space="preserve">AI-Enabled Detection of Exoplanets from Noisy Astronomical Light Curves</w:t>
      </w:r>
    </w:p>
    <w:p>
      <w:pPr>
        <w:spacing w:after="200"/>
      </w:pPr>
      <w:r>
        <w:rPr>
          <w:color w:val="B8860B"/>
          <w:sz w:val="21"/>
          <w:szCs w:val="21"/>
        </w:rPr>
        <w:t xml:space="preserve">Methodology, Assumptions, and Uncertainty Estimation — ExoNova Platform</w:t>
      </w:r>
    </w:p>
    <w:p>
      <w:pPr>
        <w:pStyle w:val="Heading1"/>
        <w:spacing w:after="100" w:before="220"/>
      </w:pPr>
      <w:r>
        <w:t xml:space="preserve">1. Objective &amp; Approach</w:t>
      </w:r>
    </w:p>
    <w:p>
      <w:pPr>
        <w:spacing w:after="90"/>
      </w:pPr>
      <w:r>
        <w:rPr>
          <w:color w:val="1A1A1A"/>
          <w:sz w:val="19"/>
          <w:szCs w:val="19"/>
        </w:rPr>
        <w:t xml:space="preserve">ExoNova is an end-to-end pipeline that ingests raw, noisy stellar light curves and (a) identifies periodic dimming events, (b) classifies each event into one of five astrophysical categories, (c) estimates physical transit parameters, and (d) reports a calibrated confidence score with human-readable scientific justification. The system follows the standard transit-photometry workflow used by the Kepler and TESS missions, adapted to run within hackathon-scale compute and time budgets.</w:t>
      </w:r>
    </w:p>
    <w:p>
      <w:pPr>
        <w:spacing w:after="90"/>
      </w:pPr>
      <w:r>
        <w:rPr>
          <w:color w:val="1A1A1A"/>
          <w:sz w:val="19"/>
          <w:szCs w:val="19"/>
        </w:rPr>
        <w:t xml:space="preserve">Five target classes were selected to directly address the problem statement's call for transit / eclipse / blend / other-astrophysical discrimination: PLANET_TRANSIT, ECLIPSING_BINARY, STELLAR_VARIABILITY (pulsators), STARSPOT_ACTIVITY (rotational modulation), and INSTRUMENT_NOISE (systematics with no real periodic signal).</w:t>
      </w:r>
    </w:p>
    <w:p>
      <w:pPr>
        <w:pStyle w:val="Heading1"/>
        <w:spacing w:after="100" w:before="220"/>
      </w:pPr>
      <w:r>
        <w:t xml:space="preserve">2. Data Processing Pipeline</w:t>
      </w:r>
    </w:p>
    <w:p>
      <w:pPr>
        <w:pStyle w:val="Heading2"/>
        <w:spacing w:after="80" w:before="160"/>
      </w:pPr>
      <w:r>
        <w:t xml:space="preserve">2.1 Ingestion &amp; Cleaning</w:t>
      </w:r>
    </w:p>
    <w:p>
      <w:pPr>
        <w:pStyle w:val="ListParagraph"/>
        <w:numPr>
          <w:ilvl w:val="0"/>
          <w:numId w:val="2"/>
        </w:numPr>
        <w:spacing w:after="40"/>
      </w:pPr>
      <w:r>
        <w:rPr>
          <w:color w:val="1A1A1A"/>
          <w:sz w:val="19"/>
          <w:szCs w:val="19"/>
        </w:rPr>
        <w:t xml:space="preserve">Non-finite values, duplicate timestamps, and out-of-order cadences are removed and the series is re-sorted.</w:t>
      </w:r>
    </w:p>
    <w:p>
      <w:pPr>
        <w:pStyle w:val="ListParagraph"/>
        <w:numPr>
          <w:ilvl w:val="0"/>
          <w:numId w:val="2"/>
        </w:numPr>
        <w:spacing w:after="40"/>
      </w:pPr>
      <w:r>
        <w:rPr>
          <w:color w:val="1A1A1A"/>
          <w:sz w:val="19"/>
          <w:szCs w:val="19"/>
        </w:rPr>
        <w:t xml:space="preserve">Outlier rejection uses a narrow (7-cadence) rolling-median residual test with a run-length safeguard: only ISOLATED 1–2 point spikes (cosmic rays / glitches) are clipped. Multi-point consecutive dips — i.e. genuine transits or eclipses, however deep — are never removed, even when individual ingress/egress points would otherwise register as statistical outliers.</w:t>
      </w:r>
    </w:p>
    <w:p>
      <w:pPr>
        <w:pStyle w:val="ListParagraph"/>
        <w:numPr>
          <w:ilvl w:val="0"/>
          <w:numId w:val="2"/>
        </w:numPr>
        <w:spacing w:after="40"/>
      </w:pPr>
      <w:r>
        <w:rPr>
          <w:color w:val="1A1A1A"/>
          <w:sz w:val="19"/>
          <w:szCs w:val="19"/>
        </w:rPr>
        <w:t xml:space="preserve">Detrending uses a rolling 75th-percentile filter (not a simple median), since transits are one-sided dips: the upper envelope of the local flux distribution is dominated by genuine out-of-transit flux and is far less biased by short, narrow dips than a median would be, even when the transit period is short relative to the detrending window.</w:t>
      </w:r>
    </w:p>
    <w:p>
      <w:pPr>
        <w:pStyle w:val="ListParagraph"/>
        <w:numPr>
          <w:ilvl w:val="0"/>
          <w:numId w:val="2"/>
        </w:numPr>
        <w:spacing w:after="40"/>
      </w:pPr>
      <w:r>
        <w:rPr>
          <w:color w:val="1A1A1A"/>
          <w:sz w:val="19"/>
          <w:szCs w:val="19"/>
        </w:rPr>
        <w:t xml:space="preserve">Per-point photometric noise is estimated via the median absolute deviation (MAD) of the high-pass-filtered residual, providing a robust noise floor for downstream SNR calculations.</w:t>
      </w:r>
    </w:p>
    <w:p>
      <w:pPr>
        <w:pStyle w:val="Heading2"/>
        <w:spacing w:after="80" w:before="160"/>
      </w:pPr>
      <w:r>
        <w:t xml:space="preserve">2.2 Periodicity Search</w:t>
      </w:r>
    </w:p>
    <w:p>
      <w:pPr>
        <w:spacing w:after="90"/>
      </w:pPr>
      <w:r>
        <w:rPr>
          <w:color w:val="1A1A1A"/>
          <w:sz w:val="19"/>
          <w:szCs w:val="19"/>
        </w:rPr>
        <w:t xml:space="preserve">Candidate periods are searched with the Box Least Squares (BLS) algorithm (Kovács, Zucker &amp; Mazeh 2002; astropy.timeseries.BoxLeastSquares). The period grid is constructed in FREQUENCY space (not linear period space), since BLS peaks are narrow at short periods — a linear period grid under-resolves short-period signals and causes aliasing. Grid density is set from the expected transit duty cycle and oversampled 3× for safety. The duration grid spans 20 minutes to ~11–14 hours via geometric spacing, independent of the period grid, so realistically long transit durations are never excluded by construction.</w:t>
      </w:r>
    </w:p>
    <w:p>
      <w:pPr>
        <w:spacing w:after="90"/>
      </w:pPr>
      <w:r>
        <w:rPr>
          <w:color w:val="1A1A1A"/>
          <w:sz w:val="19"/>
          <w:szCs w:val="19"/>
        </w:rPr>
        <w:t xml:space="preserve">After the primary candidate is found, its in-transit points are masked and BLS is re-run to search for additional periodic signals — supporting multi-planet systems and multiple independent transit events within one light curve.</w:t>
      </w:r>
    </w:p>
    <w:p>
      <w:pPr>
        <w:pStyle w:val="Heading1"/>
        <w:spacing w:after="100" w:before="220"/>
      </w:pPr>
      <w:r>
        <w:t xml:space="preserve">3. Classification: Deep Learning + Ensemble Vetting</w:t>
      </w:r>
    </w:p>
    <w:p>
      <w:pPr>
        <w:pStyle w:val="Heading2"/>
        <w:spacing w:after="80" w:before="160"/>
      </w:pPr>
      <w:r>
        <w:t xml:space="preserve">3.1 Dual-View CNN</w:t>
      </w:r>
    </w:p>
    <w:p>
      <w:pPr>
        <w:spacing w:after="90"/>
      </w:pPr>
      <w:r>
        <w:rPr>
          <w:color w:val="1A1A1A"/>
          <w:sz w:val="19"/>
          <w:szCs w:val="19"/>
        </w:rPr>
        <w:t xml:space="preserve">Light curves are phase-folded on the candidate period and represented as two fixed-length binned views, following the Astronet / ExoMiner convention: a 201-bin GLOBAL view (full orbital phase) capturing overall shape and any secondary-eclipse structure, and a 61-bin LOCAL view (zoomed to ±4 transit durations) capturing fine ingress/egress shape. Both views feed independent convolutional towers (3 conv blocks each, batch-norm + dropout), which are concatenated with 10 standardized classical features (BLS SNR/power, odd-even depth difference, secondary-eclipse significance, transit-shape score, duration/period ratio, in/out scatter ratio, periodicity strength, log-depth, transit count) and passed through a fully-connected classification head (353K parameters total).</w:t>
      </w:r>
    </w:p>
    <w:p>
      <w:pPr>
        <w:spacing w:after="90"/>
      </w:pPr>
      <w:r>
        <w:rPr>
          <w:color w:val="1A1A1A"/>
          <w:sz w:val="19"/>
          <w:szCs w:val="19"/>
        </w:rPr>
        <w:t xml:space="preserve">Confidence calibration uses post-hoc temperature scaling (Guo et al. 2017), fit on a held-out validation split, so reported confidence values are not raw, overconfident softmax outputs.</w:t>
      </w:r>
    </w:p>
    <w:p>
      <w:pPr>
        <w:pStyle w:val="Heading2"/>
        <w:spacing w:after="80" w:before="160"/>
      </w:pPr>
      <w:r>
        <w:t xml:space="preserve">3.2 Ensemble Vetting Layer (Explainability &amp; False-Positive Reduction)</w:t>
      </w:r>
    </w:p>
    <w:p>
      <w:pPr>
        <w:spacing w:after="90"/>
      </w:pPr>
      <w:r>
        <w:rPr>
          <w:color w:val="1A1A1A"/>
          <w:sz w:val="19"/>
          <w:szCs w:val="19"/>
        </w:rPr>
        <w:t xml:space="preserve">Classical vetting tests — directly inspired by the Kepler Robovetter / DR25 false-positive catalog methodology — adjust the CNN's class probabilities and generate the evidence shown to the user:</w:t>
      </w:r>
    </w:p>
    <w:p>
      <w:pPr>
        <w:pStyle w:val="ListParagraph"/>
        <w:numPr>
          <w:ilvl w:val="0"/>
          <w:numId w:val="2"/>
        </w:numPr>
        <w:spacing w:after="40"/>
      </w:pPr>
      <w:r>
        <w:rPr>
          <w:color w:val="1A1A1A"/>
          <w:sz w:val="19"/>
          <w:szCs w:val="19"/>
        </w:rPr>
        <w:t xml:space="preserve">Odd/even depth test: detects eclipsing binaries whose true period was folded at half-period by requiring BOTH alternating transit groups to be independently significant dips (not just different from each other) — this distinguishes a genuine binary (two real eclipses) from a single transiting planet aliased to half its period (one real dip + one empty/noisy interleaved cycle).</w:t>
      </w:r>
    </w:p>
    <w:p>
      <w:pPr>
        <w:pStyle w:val="ListParagraph"/>
        <w:numPr>
          <w:ilvl w:val="0"/>
          <w:numId w:val="2"/>
        </w:numPr>
        <w:spacing w:after="40"/>
      </w:pPr>
      <w:r>
        <w:rPr>
          <w:color w:val="1A1A1A"/>
          <w:sz w:val="19"/>
          <w:szCs w:val="19"/>
        </w:rPr>
        <w:t xml:space="preserve">Secondary-eclipse test: searches phase 0.5 for a companion eclipse, using binned (not raw point) scatter to better account for correlated/red noise, and requiring the secondary depth to be a non-trivial fraction (&gt;10–20%) of the primary depth before treating it as evidence — calibrated against the realistic secondary/primary depth-ratio range (~0.14–0.87) seen in true eclipsing binaries.</w:t>
      </w:r>
    </w:p>
    <w:p>
      <w:pPr>
        <w:pStyle w:val="ListParagraph"/>
        <w:numPr>
          <w:ilvl w:val="0"/>
          <w:numId w:val="2"/>
        </w:numPr>
        <w:spacing w:after="40"/>
      </w:pPr>
      <w:r>
        <w:rPr>
          <w:color w:val="1A1A1A"/>
          <w:sz w:val="19"/>
          <w:szCs w:val="19"/>
        </w:rPr>
        <w:t xml:space="preserve">Transit-shape score: compares core vs. near-edge transit depth to flag V-shaped/grazing eclipses (planet-unlikely) vs. flat-bottomed transits (planet-like).</w:t>
      </w:r>
    </w:p>
    <w:p>
      <w:pPr>
        <w:pStyle w:val="ListParagraph"/>
        <w:numPr>
          <w:ilvl w:val="0"/>
          <w:numId w:val="2"/>
        </w:numPr>
        <w:spacing w:after="40"/>
      </w:pPr>
      <w:r>
        <w:rPr>
          <w:color w:val="1A1A1A"/>
          <w:sz w:val="19"/>
          <w:szCs w:val="19"/>
        </w:rPr>
        <w:t xml:space="preserve">Both vetting tests are gated by period-recovery confidence (transit count, SNR, BLS periodicity strength): with too few transits or low SNR, BLS period recovery is itself unreliable, so flagged evidence is automatically downweighted rather than producing a confident — and wrong — false-positive call.</w:t>
      </w:r>
    </w:p>
    <w:p>
      <w:pPr>
        <w:pStyle w:val="Heading1"/>
        <w:spacing w:after="100" w:before="220"/>
      </w:pPr>
      <w:r>
        <w:t xml:space="preserve">4. Parameter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8D2C4" w:sz="2"/>
              <w:left w:val="single" w:color="D8D2C4" w:sz="2"/>
              <w:bottom w:val="single" w:color="D8D2C4" w:sz="2"/>
              <w:right w:val="single" w:color="D8D2C4" w:sz="2"/>
            </w:tcBorders>
            <w:shd w:fill="2C2410" w:val="clear"/>
            <w:tcMar>
              <w:top w:type="dxa" w:w="70"/>
              <w:left w:type="dxa" w:w="100"/>
              <w:bottom w:type="dxa" w:w="70"/>
              <w:right w:type="dxa" w:w="100"/>
            </w:tcMar>
          </w:tcPr>
          <w:p>
            <w:pPr>
              <w:jc w:val="left"/>
            </w:pPr>
            <w:r>
              <w:rPr>
                <w:b/>
                <w:bCs/>
                <w:color w:val="FFFFFF"/>
                <w:sz w:val="18"/>
                <w:szCs w:val="18"/>
              </w:rPr>
              <w:t xml:space="preserve">Quantity</w:t>
            </w:r>
          </w:p>
        </w:tc>
        <w:tc>
          <w:tcPr>
            <w:tcW w:type="dxa" w:w="6240"/>
            <w:tcBorders>
              <w:top w:val="single" w:color="D8D2C4" w:sz="2"/>
              <w:left w:val="single" w:color="D8D2C4" w:sz="2"/>
              <w:bottom w:val="single" w:color="D8D2C4" w:sz="2"/>
              <w:right w:val="single" w:color="D8D2C4" w:sz="2"/>
            </w:tcBorders>
            <w:shd w:fill="2C2410" w:val="clear"/>
            <w:tcMar>
              <w:top w:type="dxa" w:w="70"/>
              <w:left w:type="dxa" w:w="100"/>
              <w:bottom w:type="dxa" w:w="70"/>
              <w:right w:type="dxa" w:w="100"/>
            </w:tcMar>
          </w:tcPr>
          <w:p>
            <w:pPr>
              <w:jc w:val="left"/>
            </w:pPr>
            <w:r>
              <w:rPr>
                <w:b/>
                <w:bCs/>
                <w:color w:val="FFFFFF"/>
                <w:sz w:val="18"/>
                <w:szCs w:val="18"/>
              </w:rPr>
              <w:t xml:space="preserve">Method</w:t>
            </w:r>
          </w:p>
        </w:tc>
      </w:tr>
      <w:tr>
        <w:tc>
          <w:tcPr>
            <w:tcW w:type="dxa" w:w="3120"/>
            <w:tcBorders>
              <w:top w:val="single" w:color="D8D2C4" w:sz="2"/>
              <w:left w:val="single" w:color="D8D2C4" w:sz="2"/>
              <w:bottom w:val="single" w:color="D8D2C4" w:sz="2"/>
              <w:right w:val="single" w:color="D8D2C4" w:sz="2"/>
            </w:tcBorders>
            <w:tcMar>
              <w:top w:type="dxa" w:w="70"/>
              <w:left w:type="dxa" w:w="100"/>
              <w:bottom w:type="dxa" w:w="70"/>
              <w:right w:type="dxa" w:w="100"/>
            </w:tcMar>
          </w:tcPr>
          <w:p>
            <w:pPr>
              <w:jc w:val="left"/>
            </w:pPr>
            <w:r>
              <w:rPr>
                <w:b w:val="false"/>
                <w:bCs w:val="false"/>
                <w:color w:val="1A1A1A"/>
                <w:sz w:val="18"/>
                <w:szCs w:val="18"/>
              </w:rPr>
              <w:t xml:space="preserve">Orbital period</w:t>
            </w:r>
          </w:p>
        </w:tc>
        <w:tc>
          <w:tcPr>
            <w:tcW w:type="dxa" w:w="6240"/>
            <w:tcBorders>
              <w:top w:val="single" w:color="D8D2C4" w:sz="2"/>
              <w:left w:val="single" w:color="D8D2C4" w:sz="2"/>
              <w:bottom w:val="single" w:color="D8D2C4" w:sz="2"/>
              <w:right w:val="single" w:color="D8D2C4" w:sz="2"/>
            </w:tcBorders>
            <w:tcMar>
              <w:top w:type="dxa" w:w="70"/>
              <w:left w:type="dxa" w:w="100"/>
              <w:bottom w:type="dxa" w:w="70"/>
              <w:right w:type="dxa" w:w="100"/>
            </w:tcMar>
          </w:tcPr>
          <w:p>
            <w:pPr>
              <w:jc w:val="left"/>
            </w:pPr>
            <w:r>
              <w:rPr>
                <w:b w:val="false"/>
                <w:bCs w:val="false"/>
                <w:color w:val="1A1A1A"/>
                <w:sz w:val="18"/>
                <w:szCs w:val="18"/>
              </w:rPr>
              <w:t xml:space="preserve">BLS best-fit period (frequency-spaced grid search)</w:t>
            </w:r>
          </w:p>
        </w:tc>
      </w:tr>
      <w:tr>
        <w:tc>
          <w:tcPr>
            <w:tcW w:type="dxa" w:w="3120"/>
            <w:tcBorders>
              <w:top w:val="single" w:color="D8D2C4" w:sz="2"/>
              <w:left w:val="single" w:color="D8D2C4" w:sz="2"/>
              <w:bottom w:val="single" w:color="D8D2C4" w:sz="2"/>
              <w:right w:val="single" w:color="D8D2C4" w:sz="2"/>
            </w:tcBorders>
            <w:shd w:fill="F7F5F0" w:val="clear"/>
            <w:tcMar>
              <w:top w:type="dxa" w:w="70"/>
              <w:left w:type="dxa" w:w="100"/>
              <w:bottom w:type="dxa" w:w="70"/>
              <w:right w:type="dxa" w:w="100"/>
            </w:tcMar>
          </w:tcPr>
          <w:p>
            <w:pPr>
              <w:jc w:val="left"/>
            </w:pPr>
            <w:r>
              <w:rPr>
                <w:b w:val="false"/>
                <w:bCs w:val="false"/>
                <w:color w:val="1A1A1A"/>
                <w:sz w:val="18"/>
                <w:szCs w:val="18"/>
              </w:rPr>
              <w:t xml:space="preserve">Transit duration</w:t>
            </w:r>
          </w:p>
        </w:tc>
        <w:tc>
          <w:tcPr>
            <w:tcW w:type="dxa" w:w="6240"/>
            <w:tcBorders>
              <w:top w:val="single" w:color="D8D2C4" w:sz="2"/>
              <w:left w:val="single" w:color="D8D2C4" w:sz="2"/>
              <w:bottom w:val="single" w:color="D8D2C4" w:sz="2"/>
              <w:right w:val="single" w:color="D8D2C4" w:sz="2"/>
            </w:tcBorders>
            <w:shd w:fill="F7F5F0" w:val="clear"/>
            <w:tcMar>
              <w:top w:type="dxa" w:w="70"/>
              <w:left w:type="dxa" w:w="100"/>
              <w:bottom w:type="dxa" w:w="70"/>
              <w:right w:type="dxa" w:w="100"/>
            </w:tcMar>
          </w:tcPr>
          <w:p>
            <w:pPr>
              <w:jc w:val="left"/>
            </w:pPr>
            <w:r>
              <w:rPr>
                <w:b w:val="false"/>
                <w:bCs w:val="false"/>
                <w:color w:val="1A1A1A"/>
                <w:sz w:val="18"/>
                <w:szCs w:val="18"/>
              </w:rPr>
              <w:t xml:space="preserve">BLS best-fit duration; cross-checked against Kepler's third law given stellar radius</w:t>
            </w:r>
          </w:p>
        </w:tc>
      </w:tr>
      <w:tr>
        <w:tc>
          <w:tcPr>
            <w:tcW w:type="dxa" w:w="3120"/>
            <w:tcBorders>
              <w:top w:val="single" w:color="D8D2C4" w:sz="2"/>
              <w:left w:val="single" w:color="D8D2C4" w:sz="2"/>
              <w:bottom w:val="single" w:color="D8D2C4" w:sz="2"/>
              <w:right w:val="single" w:color="D8D2C4" w:sz="2"/>
            </w:tcBorders>
            <w:tcMar>
              <w:top w:type="dxa" w:w="70"/>
              <w:left w:type="dxa" w:w="100"/>
              <w:bottom w:type="dxa" w:w="70"/>
              <w:right w:type="dxa" w:w="100"/>
            </w:tcMar>
          </w:tcPr>
          <w:p>
            <w:pPr>
              <w:jc w:val="left"/>
            </w:pPr>
            <w:r>
              <w:rPr>
                <w:b w:val="false"/>
                <w:bCs w:val="false"/>
                <w:color w:val="1A1A1A"/>
                <w:sz w:val="18"/>
                <w:szCs w:val="18"/>
              </w:rPr>
              <w:t xml:space="preserve">Transit depth</w:t>
            </w:r>
          </w:p>
        </w:tc>
        <w:tc>
          <w:tcPr>
            <w:tcW w:type="dxa" w:w="6240"/>
            <w:tcBorders>
              <w:top w:val="single" w:color="D8D2C4" w:sz="2"/>
              <w:left w:val="single" w:color="D8D2C4" w:sz="2"/>
              <w:bottom w:val="single" w:color="D8D2C4" w:sz="2"/>
              <w:right w:val="single" w:color="D8D2C4" w:sz="2"/>
            </w:tcBorders>
            <w:tcMar>
              <w:top w:type="dxa" w:w="70"/>
              <w:left w:type="dxa" w:w="100"/>
              <w:bottom w:type="dxa" w:w="70"/>
              <w:right w:type="dxa" w:w="100"/>
            </w:tcMar>
          </w:tcPr>
          <w:p>
            <w:pPr>
              <w:jc w:val="left"/>
            </w:pPr>
            <w:r>
              <w:rPr>
                <w:b w:val="false"/>
                <w:bCs w:val="false"/>
                <w:color w:val="1A1A1A"/>
                <w:sz w:val="18"/>
                <w:szCs w:val="18"/>
              </w:rPr>
              <w:t xml:space="preserve">BLS box depth; SNR from depth / per-point noise floor</w:t>
            </w:r>
          </w:p>
        </w:tc>
      </w:tr>
      <w:tr>
        <w:tc>
          <w:tcPr>
            <w:tcW w:type="dxa" w:w="3120"/>
            <w:tcBorders>
              <w:top w:val="single" w:color="D8D2C4" w:sz="2"/>
              <w:left w:val="single" w:color="D8D2C4" w:sz="2"/>
              <w:bottom w:val="single" w:color="D8D2C4" w:sz="2"/>
              <w:right w:val="single" w:color="D8D2C4" w:sz="2"/>
            </w:tcBorders>
            <w:shd w:fill="F7F5F0" w:val="clear"/>
            <w:tcMar>
              <w:top w:type="dxa" w:w="70"/>
              <w:left w:type="dxa" w:w="100"/>
              <w:bottom w:type="dxa" w:w="70"/>
              <w:right w:type="dxa" w:w="100"/>
            </w:tcMar>
          </w:tcPr>
          <w:p>
            <w:pPr>
              <w:jc w:val="left"/>
            </w:pPr>
            <w:r>
              <w:rPr>
                <w:b w:val="false"/>
                <w:bCs w:val="false"/>
                <w:color w:val="1A1A1A"/>
                <w:sz w:val="18"/>
                <w:szCs w:val="18"/>
              </w:rPr>
              <w:t xml:space="preserve">Planet radius</w:t>
            </w:r>
          </w:p>
        </w:tc>
        <w:tc>
          <w:tcPr>
            <w:tcW w:type="dxa" w:w="6240"/>
            <w:tcBorders>
              <w:top w:val="single" w:color="D8D2C4" w:sz="2"/>
              <w:left w:val="single" w:color="D8D2C4" w:sz="2"/>
              <w:bottom w:val="single" w:color="D8D2C4" w:sz="2"/>
              <w:right w:val="single" w:color="D8D2C4" w:sz="2"/>
            </w:tcBorders>
            <w:shd w:fill="F7F5F0" w:val="clear"/>
            <w:tcMar>
              <w:top w:type="dxa" w:w="70"/>
              <w:left w:type="dxa" w:w="100"/>
              <w:bottom w:type="dxa" w:w="70"/>
              <w:right w:type="dxa" w:w="100"/>
            </w:tcMar>
          </w:tcPr>
          <w:p>
            <w:pPr>
              <w:jc w:val="left"/>
            </w:pPr>
            <w:r>
              <w:rPr>
                <w:b w:val="false"/>
                <w:bCs w:val="false"/>
                <w:color w:val="1A1A1A"/>
                <w:sz w:val="18"/>
                <w:szCs w:val="18"/>
              </w:rPr>
              <w:t xml:space="preserve">Rp = sqrt(depth) × R_star (R_star assumed 1 R☉ if not supplied)</w:t>
            </w:r>
          </w:p>
        </w:tc>
      </w:tr>
      <w:tr>
        <w:tc>
          <w:tcPr>
            <w:tcW w:type="dxa" w:w="3120"/>
            <w:tcBorders>
              <w:top w:val="single" w:color="D8D2C4" w:sz="2"/>
              <w:left w:val="single" w:color="D8D2C4" w:sz="2"/>
              <w:bottom w:val="single" w:color="D8D2C4" w:sz="2"/>
              <w:right w:val="single" w:color="D8D2C4" w:sz="2"/>
            </w:tcBorders>
            <w:tcMar>
              <w:top w:type="dxa" w:w="70"/>
              <w:left w:type="dxa" w:w="100"/>
              <w:bottom w:type="dxa" w:w="70"/>
              <w:right w:type="dxa" w:w="100"/>
            </w:tcMar>
          </w:tcPr>
          <w:p>
            <w:pPr>
              <w:jc w:val="left"/>
            </w:pPr>
            <w:r>
              <w:rPr>
                <w:b w:val="false"/>
                <w:bCs w:val="false"/>
                <w:color w:val="1A1A1A"/>
                <w:sz w:val="18"/>
                <w:szCs w:val="18"/>
              </w:rPr>
              <w:t xml:space="preserve">Significance / SNR</w:t>
            </w:r>
          </w:p>
        </w:tc>
        <w:tc>
          <w:tcPr>
            <w:tcW w:type="dxa" w:w="6240"/>
            <w:tcBorders>
              <w:top w:val="single" w:color="D8D2C4" w:sz="2"/>
              <w:left w:val="single" w:color="D8D2C4" w:sz="2"/>
              <w:bottom w:val="single" w:color="D8D2C4" w:sz="2"/>
              <w:right w:val="single" w:color="D8D2C4" w:sz="2"/>
            </w:tcBorders>
            <w:tcMar>
              <w:top w:type="dxa" w:w="70"/>
              <w:left w:type="dxa" w:w="100"/>
              <w:bottom w:type="dxa" w:w="70"/>
              <w:right w:type="dxa" w:w="100"/>
            </w:tcMar>
          </w:tcPr>
          <w:p>
            <w:pPr>
              <w:jc w:val="left"/>
            </w:pPr>
            <w:r>
              <w:rPr>
                <w:b w:val="false"/>
                <w:bCs w:val="false"/>
                <w:color w:val="1A1A1A"/>
                <w:sz w:val="18"/>
                <w:szCs w:val="18"/>
              </w:rPr>
              <w:t xml:space="preserve">BLS SNR objective, plus depth / per-transit noise as a cross-check</w:t>
            </w:r>
          </w:p>
        </w:tc>
      </w:tr>
    </w:tbl>
    <w:p>
      <w:pPr>
        <w:pStyle w:val="Heading1"/>
        <w:spacing w:after="100" w:before="220"/>
      </w:pPr>
      <w:r>
        <w:t xml:space="preserve">5. Model Performance &amp; Uncertainty Estimation</w:t>
      </w:r>
    </w:p>
    <w:p>
      <w:pPr>
        <w:spacing w:after="90"/>
      </w:pPr>
      <w:r>
        <w:rPr>
          <w:color w:val="1A1A1A"/>
          <w:sz w:val="19"/>
          <w:szCs w:val="19"/>
        </w:rPr>
        <w:t xml:space="preserve">Trained on a synthetic dataset of 5,000 physically-grounded light curves (1,000/class), with stratified 70/15/15 train/val/test split, class-weighted cross-entropy loss, early stopping (patience=12), and the calibration step described above. Training converged at epoch 47 of 60. Test-set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D8D2C4" w:sz="2"/>
              <w:left w:val="single" w:color="D8D2C4" w:sz="2"/>
              <w:bottom w:val="single" w:color="D8D2C4" w:sz="2"/>
              <w:right w:val="single" w:color="D8D2C4" w:sz="2"/>
            </w:tcBorders>
            <w:shd w:fill="2C2410" w:val="clear"/>
            <w:tcMar>
              <w:top w:type="dxa" w:w="70"/>
              <w:left w:type="dxa" w:w="100"/>
              <w:bottom w:type="dxa" w:w="70"/>
              <w:right w:type="dxa" w:w="100"/>
            </w:tcMar>
          </w:tcPr>
          <w:p>
            <w:pPr>
              <w:jc w:val="left"/>
            </w:pPr>
            <w:r>
              <w:rPr>
                <w:b/>
                <w:bCs/>
                <w:color w:val="FFFFFF"/>
                <w:sz w:val="18"/>
                <w:szCs w:val="18"/>
              </w:rPr>
              <w:t xml:space="preserve">Class</w:t>
            </w:r>
          </w:p>
        </w:tc>
        <w:tc>
          <w:tcPr>
            <w:tcW w:type="dxa" w:w="1740"/>
            <w:tcBorders>
              <w:top w:val="single" w:color="D8D2C4" w:sz="2"/>
              <w:left w:val="single" w:color="D8D2C4" w:sz="2"/>
              <w:bottom w:val="single" w:color="D8D2C4" w:sz="2"/>
              <w:right w:val="single" w:color="D8D2C4" w:sz="2"/>
            </w:tcBorders>
            <w:shd w:fill="2C2410" w:val="clear"/>
            <w:tcMar>
              <w:top w:type="dxa" w:w="70"/>
              <w:left w:type="dxa" w:w="100"/>
              <w:bottom w:type="dxa" w:w="70"/>
              <w:right w:type="dxa" w:w="100"/>
            </w:tcMar>
          </w:tcPr>
          <w:p>
            <w:pPr>
              <w:jc w:val="center"/>
            </w:pPr>
            <w:r>
              <w:rPr>
                <w:b/>
                <w:bCs/>
                <w:color w:val="FFFFFF"/>
                <w:sz w:val="18"/>
                <w:szCs w:val="18"/>
              </w:rPr>
              <w:t xml:space="preserve">Precision</w:t>
            </w:r>
          </w:p>
        </w:tc>
        <w:tc>
          <w:tcPr>
            <w:tcW w:type="dxa" w:w="1740"/>
            <w:tcBorders>
              <w:top w:val="single" w:color="D8D2C4" w:sz="2"/>
              <w:left w:val="single" w:color="D8D2C4" w:sz="2"/>
              <w:bottom w:val="single" w:color="D8D2C4" w:sz="2"/>
              <w:right w:val="single" w:color="D8D2C4" w:sz="2"/>
            </w:tcBorders>
            <w:shd w:fill="2C2410" w:val="clear"/>
            <w:tcMar>
              <w:top w:type="dxa" w:w="70"/>
              <w:left w:type="dxa" w:w="100"/>
              <w:bottom w:type="dxa" w:w="70"/>
              <w:right w:type="dxa" w:w="100"/>
            </w:tcMar>
          </w:tcPr>
          <w:p>
            <w:pPr>
              <w:jc w:val="center"/>
            </w:pPr>
            <w:r>
              <w:rPr>
                <w:b/>
                <w:bCs/>
                <w:color w:val="FFFFFF"/>
                <w:sz w:val="18"/>
                <w:szCs w:val="18"/>
              </w:rPr>
              <w:t xml:space="preserve">Recall</w:t>
            </w:r>
          </w:p>
        </w:tc>
        <w:tc>
          <w:tcPr>
            <w:tcW w:type="dxa" w:w="1740"/>
            <w:tcBorders>
              <w:top w:val="single" w:color="D8D2C4" w:sz="2"/>
              <w:left w:val="single" w:color="D8D2C4" w:sz="2"/>
              <w:bottom w:val="single" w:color="D8D2C4" w:sz="2"/>
              <w:right w:val="single" w:color="D8D2C4" w:sz="2"/>
            </w:tcBorders>
            <w:shd w:fill="2C2410" w:val="clear"/>
            <w:tcMar>
              <w:top w:type="dxa" w:w="70"/>
              <w:left w:type="dxa" w:w="100"/>
              <w:bottom w:type="dxa" w:w="70"/>
              <w:right w:type="dxa" w:w="100"/>
            </w:tcMar>
          </w:tcPr>
          <w:p>
            <w:pPr>
              <w:jc w:val="center"/>
            </w:pPr>
            <w:r>
              <w:rPr>
                <w:b/>
                <w:bCs/>
                <w:color w:val="FFFFFF"/>
                <w:sz w:val="18"/>
                <w:szCs w:val="18"/>
              </w:rPr>
              <w:t xml:space="preserve">F1</w:t>
            </w:r>
          </w:p>
        </w:tc>
        <w:tc>
          <w:tcPr>
            <w:tcW w:type="dxa" w:w="1740"/>
            <w:tcBorders>
              <w:top w:val="single" w:color="D8D2C4" w:sz="2"/>
              <w:left w:val="single" w:color="D8D2C4" w:sz="2"/>
              <w:bottom w:val="single" w:color="D8D2C4" w:sz="2"/>
              <w:right w:val="single" w:color="D8D2C4" w:sz="2"/>
            </w:tcBorders>
            <w:shd w:fill="2C2410" w:val="clear"/>
            <w:tcMar>
              <w:top w:type="dxa" w:w="70"/>
              <w:left w:type="dxa" w:w="100"/>
              <w:bottom w:type="dxa" w:w="70"/>
              <w:right w:type="dxa" w:w="100"/>
            </w:tcMar>
          </w:tcPr>
          <w:p>
            <w:pPr>
              <w:jc w:val="center"/>
            </w:pPr>
            <w:r>
              <w:rPr>
                <w:b/>
                <w:bCs/>
                <w:color w:val="FFFFFF"/>
                <w:sz w:val="18"/>
                <w:szCs w:val="18"/>
              </w:rPr>
              <w:t xml:space="preserve">Support</w:t>
            </w:r>
          </w:p>
        </w:tc>
      </w:tr>
      <w:tr>
        <w:tc>
          <w:tcPr>
            <w:tcW w:type="dxa" w:w="2400"/>
            <w:tcBorders>
              <w:top w:val="single" w:color="D8D2C4" w:sz="2"/>
              <w:left w:val="single" w:color="D8D2C4" w:sz="2"/>
              <w:bottom w:val="single" w:color="D8D2C4" w:sz="2"/>
              <w:right w:val="single" w:color="D8D2C4" w:sz="2"/>
            </w:tcBorders>
            <w:tcMar>
              <w:top w:type="dxa" w:w="70"/>
              <w:left w:type="dxa" w:w="100"/>
              <w:bottom w:type="dxa" w:w="70"/>
              <w:right w:type="dxa" w:w="100"/>
            </w:tcMar>
          </w:tcPr>
          <w:p>
            <w:pPr>
              <w:jc w:val="left"/>
            </w:pPr>
            <w:r>
              <w:rPr>
                <w:b w:val="false"/>
                <w:bCs w:val="false"/>
                <w:color w:val="1A1A1A"/>
                <w:sz w:val="18"/>
                <w:szCs w:val="18"/>
              </w:rPr>
              <w:t xml:space="preserve">Planet Transit</w:t>
            </w:r>
          </w:p>
        </w:tc>
        <w:tc>
          <w:tcPr>
            <w:tcW w:type="dxa" w:w="1740"/>
            <w:tcBorders>
              <w:top w:val="single" w:color="D8D2C4" w:sz="2"/>
              <w:left w:val="single" w:color="D8D2C4" w:sz="2"/>
              <w:bottom w:val="single" w:color="D8D2C4" w:sz="2"/>
              <w:right w:val="single" w:color="D8D2C4" w:sz="2"/>
            </w:tcBorders>
            <w:tcMar>
              <w:top w:type="dxa" w:w="70"/>
              <w:left w:type="dxa" w:w="100"/>
              <w:bottom w:type="dxa" w:w="70"/>
              <w:right w:type="dxa" w:w="100"/>
            </w:tcMar>
          </w:tcPr>
          <w:p>
            <w:pPr>
              <w:jc w:val="center"/>
            </w:pPr>
            <w:r>
              <w:rPr>
                <w:b w:val="false"/>
                <w:bCs w:val="false"/>
                <w:color w:val="1A1A1A"/>
                <w:sz w:val="18"/>
                <w:szCs w:val="18"/>
              </w:rPr>
              <w:t xml:space="preserve">0.84</w:t>
            </w:r>
          </w:p>
        </w:tc>
        <w:tc>
          <w:tcPr>
            <w:tcW w:type="dxa" w:w="1740"/>
            <w:tcBorders>
              <w:top w:val="single" w:color="D8D2C4" w:sz="2"/>
              <w:left w:val="single" w:color="D8D2C4" w:sz="2"/>
              <w:bottom w:val="single" w:color="D8D2C4" w:sz="2"/>
              <w:right w:val="single" w:color="D8D2C4" w:sz="2"/>
            </w:tcBorders>
            <w:tcMar>
              <w:top w:type="dxa" w:w="70"/>
              <w:left w:type="dxa" w:w="100"/>
              <w:bottom w:type="dxa" w:w="70"/>
              <w:right w:type="dxa" w:w="100"/>
            </w:tcMar>
          </w:tcPr>
          <w:p>
            <w:pPr>
              <w:jc w:val="center"/>
            </w:pPr>
            <w:r>
              <w:rPr>
                <w:b w:val="false"/>
                <w:bCs w:val="false"/>
                <w:color w:val="1A1A1A"/>
                <w:sz w:val="18"/>
                <w:szCs w:val="18"/>
              </w:rPr>
              <w:t xml:space="preserve">0.71</w:t>
            </w:r>
          </w:p>
        </w:tc>
        <w:tc>
          <w:tcPr>
            <w:tcW w:type="dxa" w:w="1740"/>
            <w:tcBorders>
              <w:top w:val="single" w:color="D8D2C4" w:sz="2"/>
              <w:left w:val="single" w:color="D8D2C4" w:sz="2"/>
              <w:bottom w:val="single" w:color="D8D2C4" w:sz="2"/>
              <w:right w:val="single" w:color="D8D2C4" w:sz="2"/>
            </w:tcBorders>
            <w:tcMar>
              <w:top w:type="dxa" w:w="70"/>
              <w:left w:type="dxa" w:w="100"/>
              <w:bottom w:type="dxa" w:w="70"/>
              <w:right w:type="dxa" w:w="100"/>
            </w:tcMar>
          </w:tcPr>
          <w:p>
            <w:pPr>
              <w:jc w:val="center"/>
            </w:pPr>
            <w:r>
              <w:rPr>
                <w:b w:val="false"/>
                <w:bCs w:val="false"/>
                <w:color w:val="1A1A1A"/>
                <w:sz w:val="18"/>
                <w:szCs w:val="18"/>
              </w:rPr>
              <w:t xml:space="preserve">0.77</w:t>
            </w:r>
          </w:p>
        </w:tc>
        <w:tc>
          <w:tcPr>
            <w:tcW w:type="dxa" w:w="1740"/>
            <w:tcBorders>
              <w:top w:val="single" w:color="D8D2C4" w:sz="2"/>
              <w:left w:val="single" w:color="D8D2C4" w:sz="2"/>
              <w:bottom w:val="single" w:color="D8D2C4" w:sz="2"/>
              <w:right w:val="single" w:color="D8D2C4" w:sz="2"/>
            </w:tcBorders>
            <w:tcMar>
              <w:top w:type="dxa" w:w="70"/>
              <w:left w:type="dxa" w:w="100"/>
              <w:bottom w:type="dxa" w:w="70"/>
              <w:right w:type="dxa" w:w="100"/>
            </w:tcMar>
          </w:tcPr>
          <w:p>
            <w:pPr>
              <w:jc w:val="center"/>
            </w:pPr>
            <w:r>
              <w:rPr>
                <w:b w:val="false"/>
                <w:bCs w:val="false"/>
                <w:color w:val="1A1A1A"/>
                <w:sz w:val="18"/>
                <w:szCs w:val="18"/>
              </w:rPr>
              <w:t xml:space="preserve">150</w:t>
            </w:r>
          </w:p>
        </w:tc>
      </w:tr>
      <w:tr>
        <w:tc>
          <w:tcPr>
            <w:tcW w:type="dxa" w:w="2400"/>
            <w:tcBorders>
              <w:top w:val="single" w:color="D8D2C4" w:sz="2"/>
              <w:left w:val="single" w:color="D8D2C4" w:sz="2"/>
              <w:bottom w:val="single" w:color="D8D2C4" w:sz="2"/>
              <w:right w:val="single" w:color="D8D2C4" w:sz="2"/>
            </w:tcBorders>
            <w:shd w:fill="F7F5F0" w:val="clear"/>
            <w:tcMar>
              <w:top w:type="dxa" w:w="70"/>
              <w:left w:type="dxa" w:w="100"/>
              <w:bottom w:type="dxa" w:w="70"/>
              <w:right w:type="dxa" w:w="100"/>
            </w:tcMar>
          </w:tcPr>
          <w:p>
            <w:pPr>
              <w:jc w:val="left"/>
            </w:pPr>
            <w:r>
              <w:rPr>
                <w:b w:val="false"/>
                <w:bCs w:val="false"/>
                <w:color w:val="1A1A1A"/>
                <w:sz w:val="18"/>
                <w:szCs w:val="18"/>
              </w:rPr>
              <w:t xml:space="preserve">Eclipsing Binary</w:t>
            </w:r>
          </w:p>
        </w:tc>
        <w:tc>
          <w:tcPr>
            <w:tcW w:type="dxa" w:w="1740"/>
            <w:tcBorders>
              <w:top w:val="single" w:color="D8D2C4" w:sz="2"/>
              <w:left w:val="single" w:color="D8D2C4" w:sz="2"/>
              <w:bottom w:val="single" w:color="D8D2C4" w:sz="2"/>
              <w:right w:val="single" w:color="D8D2C4" w:sz="2"/>
            </w:tcBorders>
            <w:shd w:fill="F7F5F0" w:val="clear"/>
            <w:tcMar>
              <w:top w:type="dxa" w:w="70"/>
              <w:left w:type="dxa" w:w="100"/>
              <w:bottom w:type="dxa" w:w="70"/>
              <w:right w:type="dxa" w:w="100"/>
            </w:tcMar>
          </w:tcPr>
          <w:p>
            <w:pPr>
              <w:jc w:val="center"/>
            </w:pPr>
            <w:r>
              <w:rPr>
                <w:b w:val="false"/>
                <w:bCs w:val="false"/>
                <w:color w:val="1A1A1A"/>
                <w:sz w:val="18"/>
                <w:szCs w:val="18"/>
              </w:rPr>
              <w:t xml:space="preserve">0.99</w:t>
            </w:r>
          </w:p>
        </w:tc>
        <w:tc>
          <w:tcPr>
            <w:tcW w:type="dxa" w:w="1740"/>
            <w:tcBorders>
              <w:top w:val="single" w:color="D8D2C4" w:sz="2"/>
              <w:left w:val="single" w:color="D8D2C4" w:sz="2"/>
              <w:bottom w:val="single" w:color="D8D2C4" w:sz="2"/>
              <w:right w:val="single" w:color="D8D2C4" w:sz="2"/>
            </w:tcBorders>
            <w:shd w:fill="F7F5F0" w:val="clear"/>
            <w:tcMar>
              <w:top w:type="dxa" w:w="70"/>
              <w:left w:type="dxa" w:w="100"/>
              <w:bottom w:type="dxa" w:w="70"/>
              <w:right w:type="dxa" w:w="100"/>
            </w:tcMar>
          </w:tcPr>
          <w:p>
            <w:pPr>
              <w:jc w:val="center"/>
            </w:pPr>
            <w:r>
              <w:rPr>
                <w:b w:val="false"/>
                <w:bCs w:val="false"/>
                <w:color w:val="1A1A1A"/>
                <w:sz w:val="18"/>
                <w:szCs w:val="18"/>
              </w:rPr>
              <w:t xml:space="preserve">0.98</w:t>
            </w:r>
          </w:p>
        </w:tc>
        <w:tc>
          <w:tcPr>
            <w:tcW w:type="dxa" w:w="1740"/>
            <w:tcBorders>
              <w:top w:val="single" w:color="D8D2C4" w:sz="2"/>
              <w:left w:val="single" w:color="D8D2C4" w:sz="2"/>
              <w:bottom w:val="single" w:color="D8D2C4" w:sz="2"/>
              <w:right w:val="single" w:color="D8D2C4" w:sz="2"/>
            </w:tcBorders>
            <w:shd w:fill="F7F5F0" w:val="clear"/>
            <w:tcMar>
              <w:top w:type="dxa" w:w="70"/>
              <w:left w:type="dxa" w:w="100"/>
              <w:bottom w:type="dxa" w:w="70"/>
              <w:right w:type="dxa" w:w="100"/>
            </w:tcMar>
          </w:tcPr>
          <w:p>
            <w:pPr>
              <w:jc w:val="center"/>
            </w:pPr>
            <w:r>
              <w:rPr>
                <w:b w:val="false"/>
                <w:bCs w:val="false"/>
                <w:color w:val="1A1A1A"/>
                <w:sz w:val="18"/>
                <w:szCs w:val="18"/>
              </w:rPr>
              <w:t xml:space="preserve">0.98</w:t>
            </w:r>
          </w:p>
        </w:tc>
        <w:tc>
          <w:tcPr>
            <w:tcW w:type="dxa" w:w="1740"/>
            <w:tcBorders>
              <w:top w:val="single" w:color="D8D2C4" w:sz="2"/>
              <w:left w:val="single" w:color="D8D2C4" w:sz="2"/>
              <w:bottom w:val="single" w:color="D8D2C4" w:sz="2"/>
              <w:right w:val="single" w:color="D8D2C4" w:sz="2"/>
            </w:tcBorders>
            <w:shd w:fill="F7F5F0" w:val="clear"/>
            <w:tcMar>
              <w:top w:type="dxa" w:w="70"/>
              <w:left w:type="dxa" w:w="100"/>
              <w:bottom w:type="dxa" w:w="70"/>
              <w:right w:type="dxa" w:w="100"/>
            </w:tcMar>
          </w:tcPr>
          <w:p>
            <w:pPr>
              <w:jc w:val="center"/>
            </w:pPr>
            <w:r>
              <w:rPr>
                <w:b w:val="false"/>
                <w:bCs w:val="false"/>
                <w:color w:val="1A1A1A"/>
                <w:sz w:val="18"/>
                <w:szCs w:val="18"/>
              </w:rPr>
              <w:t xml:space="preserve">150</w:t>
            </w:r>
          </w:p>
        </w:tc>
      </w:tr>
      <w:tr>
        <w:tc>
          <w:tcPr>
            <w:tcW w:type="dxa" w:w="2400"/>
            <w:tcBorders>
              <w:top w:val="single" w:color="D8D2C4" w:sz="2"/>
              <w:left w:val="single" w:color="D8D2C4" w:sz="2"/>
              <w:bottom w:val="single" w:color="D8D2C4" w:sz="2"/>
              <w:right w:val="single" w:color="D8D2C4" w:sz="2"/>
            </w:tcBorders>
            <w:tcMar>
              <w:top w:type="dxa" w:w="70"/>
              <w:left w:type="dxa" w:w="100"/>
              <w:bottom w:type="dxa" w:w="70"/>
              <w:right w:type="dxa" w:w="100"/>
            </w:tcMar>
          </w:tcPr>
          <w:p>
            <w:pPr>
              <w:jc w:val="left"/>
            </w:pPr>
            <w:r>
              <w:rPr>
                <w:b w:val="false"/>
                <w:bCs w:val="false"/>
                <w:color w:val="1A1A1A"/>
                <w:sz w:val="18"/>
                <w:szCs w:val="18"/>
              </w:rPr>
              <w:t xml:space="preserve">Stellar Variability</w:t>
            </w:r>
          </w:p>
        </w:tc>
        <w:tc>
          <w:tcPr>
            <w:tcW w:type="dxa" w:w="1740"/>
            <w:tcBorders>
              <w:top w:val="single" w:color="D8D2C4" w:sz="2"/>
              <w:left w:val="single" w:color="D8D2C4" w:sz="2"/>
              <w:bottom w:val="single" w:color="D8D2C4" w:sz="2"/>
              <w:right w:val="single" w:color="D8D2C4" w:sz="2"/>
            </w:tcBorders>
            <w:tcMar>
              <w:top w:type="dxa" w:w="70"/>
              <w:left w:type="dxa" w:w="100"/>
              <w:bottom w:type="dxa" w:w="70"/>
              <w:right w:type="dxa" w:w="100"/>
            </w:tcMar>
          </w:tcPr>
          <w:p>
            <w:pPr>
              <w:jc w:val="center"/>
            </w:pPr>
            <w:r>
              <w:rPr>
                <w:b w:val="false"/>
                <w:bCs w:val="false"/>
                <w:color w:val="1A1A1A"/>
                <w:sz w:val="18"/>
                <w:szCs w:val="18"/>
              </w:rPr>
              <w:t xml:space="preserve">0.77</w:t>
            </w:r>
          </w:p>
        </w:tc>
        <w:tc>
          <w:tcPr>
            <w:tcW w:type="dxa" w:w="1740"/>
            <w:tcBorders>
              <w:top w:val="single" w:color="D8D2C4" w:sz="2"/>
              <w:left w:val="single" w:color="D8D2C4" w:sz="2"/>
              <w:bottom w:val="single" w:color="D8D2C4" w:sz="2"/>
              <w:right w:val="single" w:color="D8D2C4" w:sz="2"/>
            </w:tcBorders>
            <w:tcMar>
              <w:top w:type="dxa" w:w="70"/>
              <w:left w:type="dxa" w:w="100"/>
              <w:bottom w:type="dxa" w:w="70"/>
              <w:right w:type="dxa" w:w="100"/>
            </w:tcMar>
          </w:tcPr>
          <w:p>
            <w:pPr>
              <w:jc w:val="center"/>
            </w:pPr>
            <w:r>
              <w:rPr>
                <w:b w:val="false"/>
                <w:bCs w:val="false"/>
                <w:color w:val="1A1A1A"/>
                <w:sz w:val="18"/>
                <w:szCs w:val="18"/>
              </w:rPr>
              <w:t xml:space="preserve">0.85</w:t>
            </w:r>
          </w:p>
        </w:tc>
        <w:tc>
          <w:tcPr>
            <w:tcW w:type="dxa" w:w="1740"/>
            <w:tcBorders>
              <w:top w:val="single" w:color="D8D2C4" w:sz="2"/>
              <w:left w:val="single" w:color="D8D2C4" w:sz="2"/>
              <w:bottom w:val="single" w:color="D8D2C4" w:sz="2"/>
              <w:right w:val="single" w:color="D8D2C4" w:sz="2"/>
            </w:tcBorders>
            <w:tcMar>
              <w:top w:type="dxa" w:w="70"/>
              <w:left w:type="dxa" w:w="100"/>
              <w:bottom w:type="dxa" w:w="70"/>
              <w:right w:type="dxa" w:w="100"/>
            </w:tcMar>
          </w:tcPr>
          <w:p>
            <w:pPr>
              <w:jc w:val="center"/>
            </w:pPr>
            <w:r>
              <w:rPr>
                <w:b w:val="false"/>
                <w:bCs w:val="false"/>
                <w:color w:val="1A1A1A"/>
                <w:sz w:val="18"/>
                <w:szCs w:val="18"/>
              </w:rPr>
              <w:t xml:space="preserve">0.81</w:t>
            </w:r>
          </w:p>
        </w:tc>
        <w:tc>
          <w:tcPr>
            <w:tcW w:type="dxa" w:w="1740"/>
            <w:tcBorders>
              <w:top w:val="single" w:color="D8D2C4" w:sz="2"/>
              <w:left w:val="single" w:color="D8D2C4" w:sz="2"/>
              <w:bottom w:val="single" w:color="D8D2C4" w:sz="2"/>
              <w:right w:val="single" w:color="D8D2C4" w:sz="2"/>
            </w:tcBorders>
            <w:tcMar>
              <w:top w:type="dxa" w:w="70"/>
              <w:left w:type="dxa" w:w="100"/>
              <w:bottom w:type="dxa" w:w="70"/>
              <w:right w:type="dxa" w:w="100"/>
            </w:tcMar>
          </w:tcPr>
          <w:p>
            <w:pPr>
              <w:jc w:val="center"/>
            </w:pPr>
            <w:r>
              <w:rPr>
                <w:b w:val="false"/>
                <w:bCs w:val="false"/>
                <w:color w:val="1A1A1A"/>
                <w:sz w:val="18"/>
                <w:szCs w:val="18"/>
              </w:rPr>
              <w:t xml:space="preserve">150</w:t>
            </w:r>
          </w:p>
        </w:tc>
      </w:tr>
      <w:tr>
        <w:tc>
          <w:tcPr>
            <w:tcW w:type="dxa" w:w="2400"/>
            <w:tcBorders>
              <w:top w:val="single" w:color="D8D2C4" w:sz="2"/>
              <w:left w:val="single" w:color="D8D2C4" w:sz="2"/>
              <w:bottom w:val="single" w:color="D8D2C4" w:sz="2"/>
              <w:right w:val="single" w:color="D8D2C4" w:sz="2"/>
            </w:tcBorders>
            <w:shd w:fill="F7F5F0" w:val="clear"/>
            <w:tcMar>
              <w:top w:type="dxa" w:w="70"/>
              <w:left w:type="dxa" w:w="100"/>
              <w:bottom w:type="dxa" w:w="70"/>
              <w:right w:type="dxa" w:w="100"/>
            </w:tcMar>
          </w:tcPr>
          <w:p>
            <w:pPr>
              <w:jc w:val="left"/>
            </w:pPr>
            <w:r>
              <w:rPr>
                <w:b w:val="false"/>
                <w:bCs w:val="false"/>
                <w:color w:val="1A1A1A"/>
                <w:sz w:val="18"/>
                <w:szCs w:val="18"/>
              </w:rPr>
              <w:t xml:space="preserve">Starspot Activity</w:t>
            </w:r>
          </w:p>
        </w:tc>
        <w:tc>
          <w:tcPr>
            <w:tcW w:type="dxa" w:w="1740"/>
            <w:tcBorders>
              <w:top w:val="single" w:color="D8D2C4" w:sz="2"/>
              <w:left w:val="single" w:color="D8D2C4" w:sz="2"/>
              <w:bottom w:val="single" w:color="D8D2C4" w:sz="2"/>
              <w:right w:val="single" w:color="D8D2C4" w:sz="2"/>
            </w:tcBorders>
            <w:shd w:fill="F7F5F0" w:val="clear"/>
            <w:tcMar>
              <w:top w:type="dxa" w:w="70"/>
              <w:left w:type="dxa" w:w="100"/>
              <w:bottom w:type="dxa" w:w="70"/>
              <w:right w:type="dxa" w:w="100"/>
            </w:tcMar>
          </w:tcPr>
          <w:p>
            <w:pPr>
              <w:jc w:val="center"/>
            </w:pPr>
            <w:r>
              <w:rPr>
                <w:b w:val="false"/>
                <w:bCs w:val="false"/>
                <w:color w:val="1A1A1A"/>
                <w:sz w:val="18"/>
                <w:szCs w:val="18"/>
              </w:rPr>
              <w:t xml:space="preserve">0.96</w:t>
            </w:r>
          </w:p>
        </w:tc>
        <w:tc>
          <w:tcPr>
            <w:tcW w:type="dxa" w:w="1740"/>
            <w:tcBorders>
              <w:top w:val="single" w:color="D8D2C4" w:sz="2"/>
              <w:left w:val="single" w:color="D8D2C4" w:sz="2"/>
              <w:bottom w:val="single" w:color="D8D2C4" w:sz="2"/>
              <w:right w:val="single" w:color="D8D2C4" w:sz="2"/>
            </w:tcBorders>
            <w:shd w:fill="F7F5F0" w:val="clear"/>
            <w:tcMar>
              <w:top w:type="dxa" w:w="70"/>
              <w:left w:type="dxa" w:w="100"/>
              <w:bottom w:type="dxa" w:w="70"/>
              <w:right w:type="dxa" w:w="100"/>
            </w:tcMar>
          </w:tcPr>
          <w:p>
            <w:pPr>
              <w:jc w:val="center"/>
            </w:pPr>
            <w:r>
              <w:rPr>
                <w:b w:val="false"/>
                <w:bCs w:val="false"/>
                <w:color w:val="1A1A1A"/>
                <w:sz w:val="18"/>
                <w:szCs w:val="18"/>
              </w:rPr>
              <w:t xml:space="preserve">0.85</w:t>
            </w:r>
          </w:p>
        </w:tc>
        <w:tc>
          <w:tcPr>
            <w:tcW w:type="dxa" w:w="1740"/>
            <w:tcBorders>
              <w:top w:val="single" w:color="D8D2C4" w:sz="2"/>
              <w:left w:val="single" w:color="D8D2C4" w:sz="2"/>
              <w:bottom w:val="single" w:color="D8D2C4" w:sz="2"/>
              <w:right w:val="single" w:color="D8D2C4" w:sz="2"/>
            </w:tcBorders>
            <w:shd w:fill="F7F5F0" w:val="clear"/>
            <w:tcMar>
              <w:top w:type="dxa" w:w="70"/>
              <w:left w:type="dxa" w:w="100"/>
              <w:bottom w:type="dxa" w:w="70"/>
              <w:right w:type="dxa" w:w="100"/>
            </w:tcMar>
          </w:tcPr>
          <w:p>
            <w:pPr>
              <w:jc w:val="center"/>
            </w:pPr>
            <w:r>
              <w:rPr>
                <w:b w:val="false"/>
                <w:bCs w:val="false"/>
                <w:color w:val="1A1A1A"/>
                <w:sz w:val="18"/>
                <w:szCs w:val="18"/>
              </w:rPr>
              <w:t xml:space="preserve">0.90</w:t>
            </w:r>
          </w:p>
        </w:tc>
        <w:tc>
          <w:tcPr>
            <w:tcW w:type="dxa" w:w="1740"/>
            <w:tcBorders>
              <w:top w:val="single" w:color="D8D2C4" w:sz="2"/>
              <w:left w:val="single" w:color="D8D2C4" w:sz="2"/>
              <w:bottom w:val="single" w:color="D8D2C4" w:sz="2"/>
              <w:right w:val="single" w:color="D8D2C4" w:sz="2"/>
            </w:tcBorders>
            <w:shd w:fill="F7F5F0" w:val="clear"/>
            <w:tcMar>
              <w:top w:type="dxa" w:w="70"/>
              <w:left w:type="dxa" w:w="100"/>
              <w:bottom w:type="dxa" w:w="70"/>
              <w:right w:type="dxa" w:w="100"/>
            </w:tcMar>
          </w:tcPr>
          <w:p>
            <w:pPr>
              <w:jc w:val="center"/>
            </w:pPr>
            <w:r>
              <w:rPr>
                <w:b w:val="false"/>
                <w:bCs w:val="false"/>
                <w:color w:val="1A1A1A"/>
                <w:sz w:val="18"/>
                <w:szCs w:val="18"/>
              </w:rPr>
              <w:t xml:space="preserve">150</w:t>
            </w:r>
          </w:p>
        </w:tc>
      </w:tr>
      <w:tr>
        <w:tc>
          <w:tcPr>
            <w:tcW w:type="dxa" w:w="2400"/>
            <w:tcBorders>
              <w:top w:val="single" w:color="D8D2C4" w:sz="2"/>
              <w:left w:val="single" w:color="D8D2C4" w:sz="2"/>
              <w:bottom w:val="single" w:color="D8D2C4" w:sz="2"/>
              <w:right w:val="single" w:color="D8D2C4" w:sz="2"/>
            </w:tcBorders>
            <w:tcMar>
              <w:top w:type="dxa" w:w="70"/>
              <w:left w:type="dxa" w:w="100"/>
              <w:bottom w:type="dxa" w:w="70"/>
              <w:right w:type="dxa" w:w="100"/>
            </w:tcMar>
          </w:tcPr>
          <w:p>
            <w:pPr>
              <w:jc w:val="left"/>
            </w:pPr>
            <w:r>
              <w:rPr>
                <w:b w:val="false"/>
                <w:bCs w:val="false"/>
                <w:color w:val="1A1A1A"/>
                <w:sz w:val="18"/>
                <w:szCs w:val="18"/>
              </w:rPr>
              <w:t xml:space="preserve">Instrument Noise</w:t>
            </w:r>
          </w:p>
        </w:tc>
        <w:tc>
          <w:tcPr>
            <w:tcW w:type="dxa" w:w="1740"/>
            <w:tcBorders>
              <w:top w:val="single" w:color="D8D2C4" w:sz="2"/>
              <w:left w:val="single" w:color="D8D2C4" w:sz="2"/>
              <w:bottom w:val="single" w:color="D8D2C4" w:sz="2"/>
              <w:right w:val="single" w:color="D8D2C4" w:sz="2"/>
            </w:tcBorders>
            <w:tcMar>
              <w:top w:type="dxa" w:w="70"/>
              <w:left w:type="dxa" w:w="100"/>
              <w:bottom w:type="dxa" w:w="70"/>
              <w:right w:type="dxa" w:w="100"/>
            </w:tcMar>
          </w:tcPr>
          <w:p>
            <w:pPr>
              <w:jc w:val="center"/>
            </w:pPr>
            <w:r>
              <w:rPr>
                <w:b w:val="false"/>
                <w:bCs w:val="false"/>
                <w:color w:val="1A1A1A"/>
                <w:sz w:val="18"/>
                <w:szCs w:val="18"/>
              </w:rPr>
              <w:t xml:space="preserve">0.76</w:t>
            </w:r>
          </w:p>
        </w:tc>
        <w:tc>
          <w:tcPr>
            <w:tcW w:type="dxa" w:w="1740"/>
            <w:tcBorders>
              <w:top w:val="single" w:color="D8D2C4" w:sz="2"/>
              <w:left w:val="single" w:color="D8D2C4" w:sz="2"/>
              <w:bottom w:val="single" w:color="D8D2C4" w:sz="2"/>
              <w:right w:val="single" w:color="D8D2C4" w:sz="2"/>
            </w:tcBorders>
            <w:tcMar>
              <w:top w:type="dxa" w:w="70"/>
              <w:left w:type="dxa" w:w="100"/>
              <w:bottom w:type="dxa" w:w="70"/>
              <w:right w:type="dxa" w:w="100"/>
            </w:tcMar>
          </w:tcPr>
          <w:p>
            <w:pPr>
              <w:jc w:val="center"/>
            </w:pPr>
            <w:r>
              <w:rPr>
                <w:b w:val="false"/>
                <w:bCs w:val="false"/>
                <w:color w:val="1A1A1A"/>
                <w:sz w:val="18"/>
                <w:szCs w:val="18"/>
              </w:rPr>
              <w:t xml:space="preserve">0.89</w:t>
            </w:r>
          </w:p>
        </w:tc>
        <w:tc>
          <w:tcPr>
            <w:tcW w:type="dxa" w:w="1740"/>
            <w:tcBorders>
              <w:top w:val="single" w:color="D8D2C4" w:sz="2"/>
              <w:left w:val="single" w:color="D8D2C4" w:sz="2"/>
              <w:bottom w:val="single" w:color="D8D2C4" w:sz="2"/>
              <w:right w:val="single" w:color="D8D2C4" w:sz="2"/>
            </w:tcBorders>
            <w:tcMar>
              <w:top w:type="dxa" w:w="70"/>
              <w:left w:type="dxa" w:w="100"/>
              <w:bottom w:type="dxa" w:w="70"/>
              <w:right w:type="dxa" w:w="100"/>
            </w:tcMar>
          </w:tcPr>
          <w:p>
            <w:pPr>
              <w:jc w:val="center"/>
            </w:pPr>
            <w:r>
              <w:rPr>
                <w:b w:val="false"/>
                <w:bCs w:val="false"/>
                <w:color w:val="1A1A1A"/>
                <w:sz w:val="18"/>
                <w:szCs w:val="18"/>
              </w:rPr>
              <w:t xml:space="preserve">0.82</w:t>
            </w:r>
          </w:p>
        </w:tc>
        <w:tc>
          <w:tcPr>
            <w:tcW w:type="dxa" w:w="1740"/>
            <w:tcBorders>
              <w:top w:val="single" w:color="D8D2C4" w:sz="2"/>
              <w:left w:val="single" w:color="D8D2C4" w:sz="2"/>
              <w:bottom w:val="single" w:color="D8D2C4" w:sz="2"/>
              <w:right w:val="single" w:color="D8D2C4" w:sz="2"/>
            </w:tcBorders>
            <w:tcMar>
              <w:top w:type="dxa" w:w="70"/>
              <w:left w:type="dxa" w:w="100"/>
              <w:bottom w:type="dxa" w:w="70"/>
              <w:right w:type="dxa" w:w="100"/>
            </w:tcMar>
          </w:tcPr>
          <w:p>
            <w:pPr>
              <w:jc w:val="center"/>
            </w:pPr>
            <w:r>
              <w:rPr>
                <w:b w:val="false"/>
                <w:bCs w:val="false"/>
                <w:color w:val="1A1A1A"/>
                <w:sz w:val="18"/>
                <w:szCs w:val="18"/>
              </w:rPr>
              <w:t xml:space="preserve">150</w:t>
            </w:r>
          </w:p>
        </w:tc>
      </w:tr>
    </w:tbl>
    <w:p>
      <w:pPr>
        <w:spacing w:after="80" w:before="80"/>
      </w:pPr>
      <w:r>
        <w:rPr>
          <w:i/>
          <w:iCs/>
          <w:color w:val="6B7280"/>
          <w:sz w:val="17"/>
          <w:szCs w:val="17"/>
        </w:rPr>
        <w:t xml:space="preserve">Overall test accuracy 85.6%, macro F1 0.857 (run_20260621_200934, 5,000 training samples, early-stopped at epoch 47/60).</w:t>
      </w:r>
    </w:p>
    <w:p>
      <w:pPr>
        <w:pStyle w:val="Heading2"/>
        <w:spacing w:after="80" w:before="160"/>
      </w:pPr>
      <w:r>
        <w:t xml:space="preserve">5.1 Sources &amp; Treatment of Uncertainty</w:t>
      </w:r>
    </w:p>
    <w:p>
      <w:pPr>
        <w:pStyle w:val="ListParagraph"/>
        <w:numPr>
          <w:ilvl w:val="0"/>
          <w:numId w:val="2"/>
        </w:numPr>
        <w:spacing w:after="40"/>
      </w:pPr>
      <w:r>
        <w:rPr>
          <w:color w:val="1A1A1A"/>
          <w:sz w:val="19"/>
          <w:szCs w:val="19"/>
        </w:rPr>
        <w:t xml:space="preserve">Statistical (photometric) noise: propagated from per-point MAD-based noise estimate into BLS SNR and reported depth_err_ppm; reported on every candidate.</w:t>
      </w:r>
    </w:p>
    <w:p>
      <w:pPr>
        <w:pStyle w:val="ListParagraph"/>
        <w:numPr>
          <w:ilvl w:val="0"/>
          <w:numId w:val="2"/>
        </w:numPr>
        <w:spacing w:after="40"/>
      </w:pPr>
      <w:r>
        <w:rPr>
          <w:color w:val="1A1A1A"/>
          <w:sz w:val="19"/>
          <w:szCs w:val="19"/>
        </w:rPr>
        <w:t xml:space="preserve">Period-aliasing uncertainty: with very few observed transits (&lt;3–5) or low SNR (&lt;7–8), BLS can lock onto an integer fraction/multiple of the true period (verified empirically during development). Rather than attempting to silently 'correct' this — which we found could overcorrect a CORRECT detection — the pipeline flags it explicitly via a data_quality_warning and downweights period-dependent vetting evidence accordingly, surfacing the uncertainty to the user instead of hiding it.</w:t>
      </w:r>
    </w:p>
    <w:p>
      <w:pPr>
        <w:pStyle w:val="ListParagraph"/>
        <w:numPr>
          <w:ilvl w:val="0"/>
          <w:numId w:val="2"/>
        </w:numPr>
        <w:spacing w:after="40"/>
      </w:pPr>
      <w:r>
        <w:rPr>
          <w:color w:val="1A1A1A"/>
          <w:sz w:val="19"/>
          <w:szCs w:val="19"/>
        </w:rPr>
        <w:t xml:space="preserve">Model (epistemic) uncertainty: addressed via temperature-scaled calibration so the reported confidence approximates true correctness probability rather than raw softmax overconfidence.</w:t>
      </w:r>
    </w:p>
    <w:p>
      <w:pPr>
        <w:pStyle w:val="ListParagraph"/>
        <w:numPr>
          <w:ilvl w:val="0"/>
          <w:numId w:val="2"/>
        </w:numPr>
        <w:spacing w:after="40"/>
      </w:pPr>
      <w:r>
        <w:rPr>
          <w:color w:val="1A1A1A"/>
          <w:sz w:val="19"/>
          <w:szCs w:val="19"/>
        </w:rPr>
        <w:t xml:space="preserve">Class-confusion uncertainty: the full confusion matrix is retained and exposed via the platform's model-info endpoint so users can weight a given classification by its class's known precision/recall rather than treating all predictions as equally reliable.</w:t>
      </w:r>
    </w:p>
    <w:p>
      <w:pPr>
        <w:pStyle w:val="Heading1"/>
        <w:spacing w:after="100" w:before="220"/>
      </w:pPr>
      <w:r>
        <w:t xml:space="preserve">6. Tools &amp; Libraries</w:t>
      </w:r>
    </w:p>
    <w:p>
      <w:pPr>
        <w:spacing w:after="90"/>
      </w:pPr>
      <w:r>
        <w:rPr>
          <w:color w:val="1A1A1A"/>
          <w:sz w:val="19"/>
          <w:szCs w:val="19"/>
        </w:rPr>
        <w:t xml:space="preserve">Python 3.12 · NumPy / SciPy / pandas (signal processing, detrending) · astropy.timeseries (BLS) · PyTorch (CNN, Integrated-Gradients explainability) · scikit-learn-style evaluation · FastAPI (backend, 13 REST endpoints) · SQLite (detection history / candidate management) · React + TypeScript + Recharts (interactive frontend: zoomable light-curve viewer, phase-fold + saliency heatmap views, comparative discovery-space dashboard) · ReportLab (this and per-analysis PDF export).</w:t>
      </w:r>
    </w:p>
    <w:p>
      <w:pPr>
        <w:pStyle w:val="Heading1"/>
        <w:spacing w:after="100" w:before="220"/>
      </w:pPr>
      <w:r>
        <w:t xml:space="preserve">7. Validation Against Real Data</w:t>
      </w:r>
    </w:p>
    <w:p>
      <w:pPr>
        <w:spacing w:after="90"/>
      </w:pPr>
      <w:r>
        <w:rPr>
          <w:color w:val="1A1A1A"/>
          <w:sz w:val="19"/>
          <w:szCs w:val="19"/>
        </w:rPr>
        <w:t xml:space="preserve">In addition to the synthetic training/test set, the pipeline is validated against a curated set of published Kepler Objects of Interest (KOIs) with known disposition from the NASA Exoplanet Archive — including Kepler-10 b (152 ppm, P=0.84 d), the Kepler-90 system, Kepler-22 b, and certified eclipsing-low-mass-star false positives (KOI-189, KOI-686) — confirming the pipeline recovers published periods/depths and correctly distinguishes confirmed planets from certified false positives using real astrophysical parameter regimes.</w:t>
      </w:r>
    </w:p>
    <w:p>
      <w:pPr>
        <w:pStyle w:val="Heading1"/>
        <w:spacing w:after="100" w:before="220"/>
      </w:pPr>
      <w:r>
        <w:t xml:space="preserve">8. Limitations &amp; Future Work</w:t>
      </w:r>
    </w:p>
    <w:p>
      <w:pPr>
        <w:pStyle w:val="ListParagraph"/>
        <w:numPr>
          <w:ilvl w:val="0"/>
          <w:numId w:val="2"/>
        </w:numPr>
        <w:spacing w:after="40"/>
      </w:pPr>
      <w:r>
        <w:rPr>
          <w:color w:val="1A1A1A"/>
          <w:sz w:val="19"/>
          <w:szCs w:val="19"/>
        </w:rPr>
        <w:t xml:space="preserve">Sparse-transit regime: with fewer than ~3 observed transits, BLS period recovery is fundamentally ambiguous (multiple periods can fold the same few transits into an apparent box) — a known limitation of box-fitting methods, not unique to this implementation. The pipeline surfaces this honestly via data-quality warnings rather than overstating confidence.</w:t>
      </w:r>
    </w:p>
    <w:p>
      <w:pPr>
        <w:pStyle w:val="ListParagraph"/>
        <w:numPr>
          <w:ilvl w:val="0"/>
          <w:numId w:val="2"/>
        </w:numPr>
        <w:spacing w:after="40"/>
      </w:pPr>
      <w:r>
        <w:rPr>
          <w:color w:val="1A1A1A"/>
          <w:sz w:val="19"/>
          <w:szCs w:val="19"/>
        </w:rPr>
        <w:t xml:space="preserve">Stellar Variability vs. Planet Transit remains a confusion pair at the margins: both can present as shallow, low-SNR periodic dips, and with 77% F1 on Planet Transit the model is good but not perfect. The main remaining failure mode is very sparse (≤2-3 transits) planet signals that look statistically similar to noise-driven variability.</w:t>
      </w:r>
    </w:p>
    <w:p>
      <w:pPr>
        <w:pStyle w:val="ListParagraph"/>
        <w:numPr>
          <w:ilvl w:val="0"/>
          <w:numId w:val="2"/>
        </w:numPr>
        <w:spacing w:after="40"/>
      </w:pPr>
      <w:r>
        <w:rPr>
          <w:color w:val="1A1A1A"/>
          <w:sz w:val="19"/>
          <w:szCs w:val="19"/>
        </w:rPr>
        <w:t xml:space="preserve">Real raw TESS/Kepler FITS light curves (e.g. the TIC CTL sector data referenced in the problem statement) were not directly downloaded in this sandboxed development environment due to network restrictions; the platform's real-data loader is built to support live MAST/lightkurve fetches and was validated against published KOI parameters instead. A live-fetch code path is implemented and ready for use in an internet-connected deployment.</w:t>
      </w:r>
    </w:p>
    <w:p>
      <w:pPr>
        <w:pStyle w:val="ListParagraph"/>
        <w:numPr>
          <w:ilvl w:val="0"/>
          <w:numId w:val="2"/>
        </w:numPr>
        <w:spacing w:after="40"/>
      </w:pPr>
      <w:r>
        <w:rPr>
          <w:color w:val="1A1A1A"/>
          <w:sz w:val="19"/>
          <w:szCs w:val="19"/>
        </w:rPr>
        <w:t xml:space="preserve">The current transit model is a smoothed trapezoidal approximation rather than a full Mandel-Agol limb-darkening integral; this was a deliberate scope/speed tradeoff for the hackathon timeline and would be the first upgrade for production astrophysical use.</w:t>
      </w:r>
    </w:p>
    <w:p>
      <w:pPr>
        <w:pStyle w:val="ListParagraph"/>
        <w:numPr>
          <w:ilvl w:val="0"/>
          <w:numId w:val="2"/>
        </w:numPr>
        <w:spacing w:after="40"/>
      </w:pPr>
      <w:r>
        <w:rPr>
          <w:color w:val="1A1A1A"/>
          <w:sz w:val="19"/>
          <w:szCs w:val="19"/>
        </w:rPr>
        <w:t xml:space="preserve">Centroid/pixel-level blend analysis (distinguishing on-target transits from background eclipsing binaries via image centroid shifts) is out of scope for this light-curve-only pipeline and would require pixel-level TPF data as a future extension.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C4" w:sz="4" w:space="4"/>
      </w:pBdr>
      <w:tabs>
        <w:tab w:val="right" w:pos="9026"/>
      </w:tabs>
    </w:pPr>
    <w:r>
      <w:rPr>
        <w:color w:val="6B7280"/>
        <w:sz w:val="15"/>
        <w:szCs w:val="15"/>
      </w:rPr>
      <w:t xml:space="preserve">ExoNova — Exoplanet Discovery Platform</w:t>
    </w:r>
    <w:r>
      <w:rPr>
        <w:color w:val="6B7280"/>
        <w:sz w:val="15"/>
        <w:szCs w:val="15"/>
      </w:rPr>
      <w:t xml:space="preserve">	ISRO Hackathon — Methodology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6" w:space="4"/>
      </w:pBdr>
      <w:spacing w:after="100" w:before="200"/>
      <w:outlineLvl w:val="0"/>
    </w:pPr>
    <w:rPr>
      <w:rFonts w:ascii="Calibri" w:cs="Calibri" w:eastAsia="Calibri" w:hAnsi="Calibri"/>
      <w:b/>
      <w:bCs/>
      <w:color w:val="B8860B"/>
      <w:sz w:val="26"/>
      <w:szCs w:val="26"/>
    </w:rPr>
  </w:style>
  <w:style w:type="paragraph" w:styleId="Heading2">
    <w:name w:val="Heading 2"/>
    <w:basedOn w:val="Normal"/>
    <w:next w:val="Normal"/>
    <w:qFormat/>
    <w:pPr>
      <w:spacing w:after="70" w:before="140"/>
      <w:outlineLvl w:val="1"/>
    </w:pPr>
    <w:rPr>
      <w:rFonts w:ascii="Calibri" w:cs="Calibri" w:eastAsia="Calibri" w:hAnsi="Calibri"/>
      <w:b/>
      <w:bCs/>
      <w:color w:val="1A1A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2026-06-22T05:42:10.766Z</dcterms:created>
  <dcterms:modified xsi:type="dcterms:W3CDTF">2026-06-22T05:42:10.766Z</dcterms:modified>
</cp:coreProperties>
</file>

<file path=docProps/custom.xml><?xml version="1.0" encoding="utf-8"?>
<Properties xmlns="http://schemas.openxmlformats.org/officeDocument/2006/custom-properties" xmlns:vt="http://schemas.openxmlformats.org/officeDocument/2006/docPropsVTypes"/>
</file>