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drawing>
          <wp:inline distT="0" distB="0" distL="0" distR="0">
            <wp:extent cx="51435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962025"/>
                    </a:xfrm>
                    <a:prstGeom prst="rect">
                      <a:avLst/>
                    </a:prstGeom>
                  </pic:spPr>
                </pic:pic>
              </a:graphicData>
            </a:graphic>
          </wp:inline>
        </w:drawing>
      </w:r>
    </w:p>
    <w:p>
      <w:pPr>
        <w:spacing w:after="60"/>
      </w:pPr>
      <w:r>
        <w:rPr>
          <w:rFonts w:ascii="Roboto" w:cs="Roboto" w:eastAsia="Roboto" w:hAnsi="Roboto"/>
          <w:b/>
          <w:bCs/>
          <w:color w:val="535B50"/>
          <w:sz w:val="36"/>
          <w:szCs w:val="36"/>
        </w:rPr>
        <w:t xml:space="preserve">Health Analysis</w:t>
      </w:r>
    </w:p>
    <w:p>
      <w:pPr>
        <w:spacing w:after="240"/>
      </w:pPr>
      <w:r>
        <w:rPr>
          <w:rFonts w:ascii="Roboto" w:cs="Roboto" w:eastAsia="Roboto" w:hAnsi="Roboto"/>
          <w:i/>
          <w:iCs/>
          <w:color w:val="666666"/>
          <w:sz w:val="22"/>
          <w:szCs w:val="22"/>
        </w:rPr>
        <w:t xml:space="preserve">N of 1 Precision Formulation  •  Practitioner Decision Support</w:t>
      </w:r>
    </w:p>
    <w:p>
      <w:pPr>
        <w:pBdr>
          <w:top w:val="single" w:color="8B2A2A" w:sz="6" w:space="2"/>
          <w:bottom w:val="single" w:color="8B2A2A" w:sz="6" w:space="2"/>
        </w:pBdr>
        <w:spacing w:after="240" w:before="120"/>
        <w:jc w:val="center"/>
      </w:pPr>
      <w:r>
        <w:rPr>
          <w:rFonts w:ascii="Roboto" w:cs="Roboto" w:eastAsia="Roboto" w:hAnsi="Roboto"/>
          <w:b/>
          <w:bCs/>
          <w:color w:val="8B2A2A"/>
          <w:sz w:val="22"/>
          <w:szCs w:val="22"/>
        </w:rPr>
        <w:t xml:space="preserve">DRAFT — PENDING PRACTITIONER REVIEW AND APPROVAL</w:t>
      </w:r>
    </w:p>
    <w:p>
      <w:pPr>
        <w:spacing w:after="240"/>
      </w:pPr>
      <w:r>
        <w:rPr>
          <w:rFonts w:ascii="Roboto" w:cs="Roboto" w:eastAsia="Roboto" w:hAnsi="Roboto"/>
          <w:i/>
          <w:iCs/>
          <w:color w:val="000000"/>
          <w:sz w:val="18"/>
          <w:szCs w:val="18"/>
        </w:rPr>
        <w:t xml:space="preserve">This document is decision support for a qualified healthcare practitioner. It is not a diagnosis, not a prescription, and not directed to the patient. The reviewing practitioner is the prescribing clinician of record and exercises independent clinical judgement on every recommendation contained herein.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700"/>
        <w:gridCol w:w="1900"/>
      </w:tblGrid>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Patient Pseudonym</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PT-2026-004</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Age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53</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Sex (at birth)</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male</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Test Type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EndoSCAN</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Lab ID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6463011</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Collection Date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2026-03-10</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Practitioner ID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P001-NATUROPATH</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Practitioner Type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naturopath</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Submission ID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SUB-2026-004</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Generated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31 May 2026, 11:11 am</w:t>
            </w:r>
          </w:p>
        </w:tc>
      </w:tr>
    </w:tbl>
    <w:p>
      <w:r>
        <w:t xml:space="preserve"/>
      </w:r>
    </w:p>
    <w:p>
      <w:pPr>
        <w:pBdr>
          <w:bottom w:val="single" w:color="C3AF88" w:sz="6" w:space="4"/>
        </w:pBdr>
        <w:spacing w:after="180" w:before="360"/>
      </w:pPr>
      <w:r>
        <w:rPr>
          <w:rFonts w:ascii="Roboto" w:cs="Roboto" w:eastAsia="Roboto" w:hAnsi="Roboto"/>
          <w:b/>
          <w:bCs/>
          <w:color w:val="535B50"/>
          <w:sz w:val="28"/>
          <w:szCs w:val="28"/>
        </w:rPr>
        <w:t xml:space="preserve">Section 1 — Executive Summary</w:t>
      </w:r>
    </w:p>
    <w:p>
      <w:pPr>
        <w:spacing w:after="240"/>
      </w:pPr>
      <w:r>
        <w:rPr>
          <w:rFonts w:ascii="Roboto" w:cs="Roboto" w:eastAsia="Roboto" w:hAnsi="Roboto"/>
          <w:b w:val="false"/>
          <w:bCs w:val="false"/>
          <w:color w:val="000000"/>
          <w:sz w:val="22"/>
          <w:szCs w:val="22"/>
        </w:rPr>
        <w:t xml:space="preserve">EndoSCAN findings in this 53-year-old male patient show low total urinary cortisol with intact DHEA/DHEA-S, a low Phase I oestrogen hydroxylation output (2-OH and 4-OH metabolites all below reference), low Phase II methylation output (2-MeOH-E1/E2 low) and a low 2-OH:16-OH ratio — alongside a heavy symptom-matrix burden (Metabolic Syndrome 36.67%, High/Low Androgens both &gt;30%, Estrogen Dominance/Progesterone Deficiency 33.33%, multiple HPA-related symptom categories ≥25%). Pattern is consistent with HPA-hypocortisolism with suboptimal oestrogen Phase I throughput and a 16-OH-dominant balance, set against a notable cardiometabolic symptom load.</w:t>
      </w:r>
    </w:p>
    <w:p>
      <w:pPr>
        <w:spacing w:after="180" w:before="240"/>
      </w:pPr>
      <w:r>
        <w:rPr>
          <w:rFonts w:ascii="Roboto" w:cs="Roboto" w:eastAsia="Roboto" w:hAnsi="Roboto"/>
          <w:b/>
          <w:bCs/>
          <w:color w:val="535B50"/>
          <w:sz w:val="24"/>
          <w:szCs w:val="24"/>
        </w:rPr>
        <w:t xml:space="preserve">Recognised clinical patterns</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HPA-hypocortisolism</w:t>
      </w:r>
    </w:p>
    <w:p>
      <w:pPr>
        <w:spacing w:after="120"/>
        <w:ind w:left="360"/>
      </w:pPr>
      <w:r>
        <w:rPr>
          <w:rFonts w:ascii="Roboto" w:cs="Roboto" w:eastAsia="Roboto" w:hAnsi="Roboto"/>
          <w:color w:val="666666"/>
          <w:sz w:val="20"/>
          <w:szCs w:val="20"/>
        </w:rPr>
        <w:t xml:space="preserve">Supporting findings: Total 24h urinary cortisol 24.91 ug/gCR (below reference 50.00–200.00), Low Cortisol symptom category 28.57% (≥25%), MODERATE burned out feeling, mental fatigue, morning fatigue, evening fatigue symptoms, SEVERE difficulty sleeping, DHEA-S preserved within range (494.5 ug/gCR) — informational</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16-OH dominant oestrogen Phase I pathway</w:t>
      </w:r>
    </w:p>
    <w:p>
      <w:pPr>
        <w:spacing w:after="120"/>
        <w:ind w:left="360"/>
      </w:pPr>
      <w:r>
        <w:rPr>
          <w:rFonts w:ascii="Roboto" w:cs="Roboto" w:eastAsia="Roboto" w:hAnsi="Roboto"/>
          <w:color w:val="666666"/>
          <w:sz w:val="20"/>
          <w:szCs w:val="20"/>
        </w:rPr>
        <w:t xml:space="preserve">Supporting findings: 2-OH Estrone 0.04 ug/gCR (below reference 0.10–1.88), 4-OH Estrone 0.03 ug/gCR (at lower reference limit), 2-OH(E1+E2)/16-OH-E1 ratio 0.60 (below reference 1.10–5.60), Estrogen Quotient 0.24 (below reference &gt;0.25), Estrogen Dominance/Progesterone Deficiency symptom category 33.33%</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Phase II oestrogen substrate-limited methylation</w:t>
      </w:r>
    </w:p>
    <w:p>
      <w:pPr>
        <w:spacing w:after="120"/>
        <w:ind w:left="360"/>
      </w:pPr>
      <w:r>
        <w:rPr>
          <w:rFonts w:ascii="Roboto" w:cs="Roboto" w:eastAsia="Roboto" w:hAnsi="Roboto"/>
          <w:color w:val="666666"/>
          <w:sz w:val="20"/>
          <w:szCs w:val="20"/>
        </w:rPr>
        <w:t xml:space="preserve">Supporting findings: 2-MeOH Estrone 0.01 ug/gCR (below reference 0.02–0.20), 2-MeOH Estradiol 0.01 ug/gCR (at lower reference limit), 2-MeOE1/2-OHE1 ratio 0.30 (within reference 0.05–0.50) — COMT efficiency intact, 4-MeOE2/4-OHE2 ratio 4.39 (elevated; methylation clearance of 4-OH-E2 efficient)</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Cardiometabolic symptom burden (biomarker-untested on this panel)</w:t>
      </w:r>
    </w:p>
    <w:p>
      <w:pPr>
        <w:spacing w:after="120"/>
        <w:ind w:left="360"/>
      </w:pPr>
      <w:r>
        <w:rPr>
          <w:rFonts w:ascii="Roboto" w:cs="Roboto" w:eastAsia="Roboto" w:hAnsi="Roboto"/>
          <w:color w:val="666666"/>
          <w:sz w:val="20"/>
          <w:szCs w:val="20"/>
        </w:rPr>
        <w:t xml:space="preserve">Supporting findings: Metabolic Syndrome symptom category 36.67%, SEVERE waist weight gain, MODERATE high blood pressure, weight gain (breasts/hips), MILD elevated triglycerides, high cholesterol, rapid heartbeat, Hypometabolism symptom category 29.17%</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Autonomic-arousal symptom overlay</w:t>
      </w:r>
    </w:p>
    <w:p>
      <w:pPr>
        <w:spacing w:after="120"/>
        <w:ind w:left="360"/>
      </w:pPr>
      <w:r>
        <w:rPr>
          <w:rFonts w:ascii="Roboto" w:cs="Roboto" w:eastAsia="Roboto" w:hAnsi="Roboto"/>
          <w:color w:val="666666"/>
          <w:sz w:val="20"/>
          <w:szCs w:val="20"/>
        </w:rPr>
        <w:t xml:space="preserve">Supporting findings: High Cortisol symptom category 29.82% (despite low cortisol biomarker), MILD heart palpitations, rapid heartbeat, nervous, irritable, dizzy spells, MODERATE high blood pressure</w:t>
      </w:r>
    </w:p>
    <w:p>
      <w:pPr>
        <w:pBdr>
          <w:bottom w:val="single" w:color="C3AF88" w:sz="6" w:space="4"/>
        </w:pBdr>
        <w:spacing w:after="180" w:before="360"/>
      </w:pPr>
      <w:r>
        <w:rPr>
          <w:rFonts w:ascii="Roboto" w:cs="Roboto" w:eastAsia="Roboto" w:hAnsi="Roboto"/>
          <w:b/>
          <w:bCs/>
          <w:color w:val="535B50"/>
          <w:sz w:val="28"/>
          <w:szCs w:val="28"/>
        </w:rPr>
        <w:t xml:space="preserve">Section 2 — Detailed Biomarker Analysis</w:t>
      </w:r>
    </w:p>
    <w:p>
      <w:pPr>
        <w:spacing w:after="240"/>
      </w:pPr>
      <w:r>
        <w:rPr>
          <w:rFonts w:ascii="Roboto" w:cs="Roboto" w:eastAsia="Roboto" w:hAnsi="Roboto"/>
          <w:b w:val="false"/>
          <w:bCs w:val="false"/>
          <w:color w:val="000000"/>
          <w:sz w:val="22"/>
          <w:szCs w:val="22"/>
        </w:rPr>
        <w:t xml:space="preserve">The following 22 biomarker findings are surfaced for practitioner review. Each finding includes a hedged interpretation, possible contributors per the published literature, and the relevance of the finding to the formulation strategy.</w:t>
      </w:r>
    </w:p>
    <w:p>
      <w:pPr>
        <w:spacing w:after="60" w:before="120"/>
      </w:pPr>
      <w:r>
        <w:rPr>
          <w:rFonts w:ascii="Roboto" w:cs="Roboto" w:eastAsia="Roboto" w:hAnsi="Roboto"/>
          <w:b/>
          <w:bCs/>
          <w:color w:val="535B50"/>
          <w:sz w:val="22"/>
          <w:szCs w:val="22"/>
        </w:rPr>
        <w:t xml:space="preserve">Total 24h urinary cortisol</w:t>
      </w:r>
      <w:r>
        <w:rPr>
          <w:rFonts w:ascii="Roboto" w:cs="Roboto" w:eastAsia="Roboto" w:hAnsi="Roboto"/>
          <w:color w:val="000000"/>
          <w:sz w:val="22"/>
          <w:szCs w:val="22"/>
        </w:rPr>
        <w:t xml:space="preserve">   24.91 ug/gCR</w:t>
      </w:r>
      <w:r>
        <w:rPr>
          <w:rFonts w:ascii="Roboto" w:cs="Roboto" w:eastAsia="Roboto" w:hAnsi="Roboto"/>
          <w:i/>
          <w:iCs/>
          <w:color w:val="666666"/>
          <w:sz w:val="20"/>
          <w:szCs w:val="20"/>
        </w:rPr>
        <w:t xml:space="preserve">   (ref: 50.00–200.00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Below the laboratory reference range. Per the laboratory's framework this finding is consistent with reduced adrenal glucocorticoid output and may indicate HPA-axis suppression or chronic physiological stress.</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identifies chronic psychological/physical stress, prolonged HPA-axis stimulation followed by down-regulation, circadian rhythm disruption, sleep deprivation, and chronic inflammation as factors that may contribute to reduced 24h urinary cortisol output — practitioner to assess relevance.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Anchors the thyroid_adaptogenic axis with HPA-supportive (upregulating) adaptogens rather than cortisol-lowering adaptogens, and supports inclusion of vitamin C and pantothenic acid (B5) as classical adrenal cofactors per published frameworks.</w:t>
      </w:r>
    </w:p>
    <w:p>
      <w:pPr>
        <w:spacing w:after="60" w:before="120"/>
      </w:pPr>
      <w:r>
        <w:rPr>
          <w:rFonts w:ascii="Roboto" w:cs="Roboto" w:eastAsia="Roboto" w:hAnsi="Roboto"/>
          <w:b/>
          <w:bCs/>
          <w:color w:val="535B50"/>
          <w:sz w:val="22"/>
          <w:szCs w:val="22"/>
        </w:rPr>
        <w:t xml:space="preserve">DHEA-S (urinary)</w:t>
      </w:r>
      <w:r>
        <w:rPr>
          <w:rFonts w:ascii="Roboto" w:cs="Roboto" w:eastAsia="Roboto" w:hAnsi="Roboto"/>
          <w:color w:val="000000"/>
          <w:sz w:val="22"/>
          <w:szCs w:val="22"/>
        </w:rPr>
        <w:t xml:space="preserve">   494.5 ug/gCR</w:t>
      </w:r>
      <w:r>
        <w:rPr>
          <w:rFonts w:ascii="Roboto" w:cs="Roboto" w:eastAsia="Roboto" w:hAnsi="Roboto"/>
          <w:i/>
          <w:iCs/>
          <w:color w:val="666666"/>
          <w:sz w:val="20"/>
          <w:szCs w:val="20"/>
        </w:rPr>
        <w:t xml:space="preserve">   (ref: 100.0–4000.0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Within reference range but in the lower portion. Combined with low total cortisol, the DHEA:cortisol relationship is preserved which is informational for the HPA pattern assessment.</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Age-related decline in adrenal DHEA-S output is well described; HPA-axis dysregulation patterns may also influence DHEA-S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Informational; reinforces conservative HPA-supportive strategy rather than DHEA-lowering interventions.</w:t>
      </w:r>
    </w:p>
    <w:p>
      <w:pPr>
        <w:spacing w:after="60" w:before="120"/>
      </w:pPr>
      <w:r>
        <w:rPr>
          <w:rFonts w:ascii="Roboto" w:cs="Roboto" w:eastAsia="Roboto" w:hAnsi="Roboto"/>
          <w:b/>
          <w:bCs/>
          <w:color w:val="535B50"/>
          <w:sz w:val="22"/>
          <w:szCs w:val="22"/>
        </w:rPr>
        <w:t xml:space="preserve">Testosterone (urinary)</w:t>
      </w:r>
      <w:r>
        <w:rPr>
          <w:rFonts w:ascii="Roboto" w:cs="Roboto" w:eastAsia="Roboto" w:hAnsi="Roboto"/>
          <w:color w:val="000000"/>
          <w:sz w:val="22"/>
          <w:szCs w:val="22"/>
        </w:rPr>
        <w:t xml:space="preserve">   15.38 ug/gCR</w:t>
      </w:r>
      <w:r>
        <w:rPr>
          <w:rFonts w:ascii="Roboto" w:cs="Roboto" w:eastAsia="Roboto" w:hAnsi="Roboto"/>
          <w:i/>
          <w:iCs/>
          <w:color w:val="666666"/>
          <w:sz w:val="20"/>
          <w:szCs w:val="20"/>
        </w:rPr>
        <w:t xml:space="preserve">   (ref: 2.50–25.00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Within reference range, in the upper portion. The symptom matrix flags both High Androgens (33.33%) and Low Androgens (31.11%) — for practitioner consideration alongside any serum testosterone data the practitioner may hold.</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describes a wide reference range for urinary testosterone metabolites; clinical correlation with symptoms and serum data is generally required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conservative dosing of zinc (mineral cofactor with aromatase/5-alpha-reductase relevance per published frameworks) and consideration of saw palmetto only at moderate dose given ambiguous androgen picture.</w:t>
      </w:r>
    </w:p>
    <w:p>
      <w:pPr>
        <w:spacing w:after="60" w:before="120"/>
      </w:pPr>
      <w:r>
        <w:rPr>
          <w:rFonts w:ascii="Roboto" w:cs="Roboto" w:eastAsia="Roboto" w:hAnsi="Roboto"/>
          <w:b/>
          <w:bCs/>
          <w:color w:val="535B50"/>
          <w:sz w:val="22"/>
          <w:szCs w:val="22"/>
        </w:rPr>
        <w:t xml:space="preserve">Estradiol (E2)</w:t>
      </w:r>
      <w:r>
        <w:rPr>
          <w:rFonts w:ascii="Roboto" w:cs="Roboto" w:eastAsia="Roboto" w:hAnsi="Roboto"/>
          <w:color w:val="000000"/>
          <w:sz w:val="22"/>
          <w:szCs w:val="22"/>
        </w:rPr>
        <w:t xml:space="preserve">   0.18 ug/gCR</w:t>
      </w:r>
      <w:r>
        <w:rPr>
          <w:rFonts w:ascii="Roboto" w:cs="Roboto" w:eastAsia="Roboto" w:hAnsi="Roboto"/>
          <w:i/>
          <w:iCs/>
          <w:color w:val="666666"/>
          <w:sz w:val="20"/>
          <w:szCs w:val="20"/>
        </w:rPr>
        <w:t xml:space="preserve">   (ref: 0.10–0.44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Within reference range. Provides substrate context for the Phase I/II metabolism findings.</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Aromatase activity from adipose tissue and other peripheral conversion sites are documented contributors to male oestrogen levels.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Informational; supports a hormone_metabolism axis focused on Phase I pathway-shifting rather than absolute oestrogen reduction.</w:t>
      </w:r>
    </w:p>
    <w:p>
      <w:pPr>
        <w:spacing w:after="60" w:before="120"/>
      </w:pPr>
      <w:r>
        <w:rPr>
          <w:rFonts w:ascii="Roboto" w:cs="Roboto" w:eastAsia="Roboto" w:hAnsi="Roboto"/>
          <w:b/>
          <w:bCs/>
          <w:color w:val="535B50"/>
          <w:sz w:val="22"/>
          <w:szCs w:val="22"/>
        </w:rPr>
        <w:t xml:space="preserve">2-OH Estrone</w:t>
      </w:r>
      <w:r>
        <w:rPr>
          <w:rFonts w:ascii="Roboto" w:cs="Roboto" w:eastAsia="Roboto" w:hAnsi="Roboto"/>
          <w:color w:val="000000"/>
          <w:sz w:val="22"/>
          <w:szCs w:val="22"/>
        </w:rPr>
        <w:t xml:space="preserve">   0.04 ug/gCR</w:t>
      </w:r>
      <w:r>
        <w:rPr>
          <w:rFonts w:ascii="Roboto" w:cs="Roboto" w:eastAsia="Roboto" w:hAnsi="Roboto"/>
          <w:i/>
          <w:iCs/>
          <w:color w:val="666666"/>
          <w:sz w:val="20"/>
          <w:szCs w:val="20"/>
        </w:rPr>
        <w:t xml:space="preserve">   (ref: 0.10–1.88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Below the laboratory reference range. Per the laboratory framework this may indicate reduced flux through the CYP1A1-mediated 2-hydroxylation pathway, considered the more favourable Phase I oestrogen pathway.</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identifies cruciferous vegetable intake, indole-3-carbinol/DIM intake, B-vitamin status, and overall hepatic CYP1A1 activity as factors that may influence 2-OH oestrogen output — practitioner to assess.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inclusion of DIM as a Phase I pathway-shifting candidate per the recognised 16-OH-dominant pattern.</w:t>
      </w:r>
    </w:p>
    <w:p>
      <w:pPr>
        <w:spacing w:after="60" w:before="120"/>
      </w:pPr>
      <w:r>
        <w:rPr>
          <w:rFonts w:ascii="Roboto" w:cs="Roboto" w:eastAsia="Roboto" w:hAnsi="Roboto"/>
          <w:b/>
          <w:bCs/>
          <w:color w:val="535B50"/>
          <w:sz w:val="22"/>
          <w:szCs w:val="22"/>
        </w:rPr>
        <w:t xml:space="preserve">4-OH Estrone</w:t>
      </w:r>
      <w:r>
        <w:rPr>
          <w:rFonts w:ascii="Roboto" w:cs="Roboto" w:eastAsia="Roboto" w:hAnsi="Roboto"/>
          <w:color w:val="000000"/>
          <w:sz w:val="22"/>
          <w:szCs w:val="22"/>
        </w:rPr>
        <w:t xml:space="preserve">   0.03 ug/gCR</w:t>
      </w:r>
      <w:r>
        <w:rPr>
          <w:rFonts w:ascii="Roboto" w:cs="Roboto" w:eastAsia="Roboto" w:hAnsi="Roboto"/>
          <w:i/>
          <w:iCs/>
          <w:color w:val="666666"/>
          <w:sz w:val="20"/>
          <w:szCs w:val="20"/>
        </w:rPr>
        <w:t xml:space="preserve">   (ref: 0.03–0.30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At the lower limit of the laboratory reference range. Per the laboratory framework, lower 4-OH oestrone output is generally interpreted as reduced genotoxic-pathway flux.</w:t>
      </w:r>
    </w:p>
    <w:p>
      <w:pPr>
        <w:spacing w:after="60" w:before="120"/>
      </w:pPr>
      <w:r>
        <w:rPr>
          <w:rFonts w:ascii="Roboto" w:cs="Roboto" w:eastAsia="Roboto" w:hAnsi="Roboto"/>
          <w:b/>
          <w:bCs/>
          <w:color w:val="535B50"/>
          <w:sz w:val="22"/>
          <w:szCs w:val="22"/>
        </w:rPr>
        <w:t xml:space="preserve">16-OH Estrone</w:t>
      </w:r>
      <w:r>
        <w:rPr>
          <w:rFonts w:ascii="Roboto" w:cs="Roboto" w:eastAsia="Roboto" w:hAnsi="Roboto"/>
          <w:color w:val="000000"/>
          <w:sz w:val="22"/>
          <w:szCs w:val="22"/>
        </w:rPr>
        <w:t xml:space="preserve">   0.08 ug/gCR</w:t>
      </w:r>
      <w:r>
        <w:rPr>
          <w:rFonts w:ascii="Roboto" w:cs="Roboto" w:eastAsia="Roboto" w:hAnsi="Roboto"/>
          <w:i/>
          <w:iCs/>
          <w:color w:val="666666"/>
          <w:sz w:val="20"/>
          <w:szCs w:val="20"/>
        </w:rPr>
        <w:t xml:space="preserve">   (ref: 0.04–0.40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Within range. However, when expressed as the 2-OH(E1+E2)/16-OH-E1 ratio (0.60), the relative balance is shifted toward the 16-OH pathway per laboratory framework.</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Combined with low 2-OH output, reinforces pathway-shifting strategy via DIM and supporting Phase II conjugation.</w:t>
      </w:r>
    </w:p>
    <w:p>
      <w:pPr>
        <w:spacing w:after="60" w:before="120"/>
      </w:pPr>
      <w:r>
        <w:rPr>
          <w:rFonts w:ascii="Roboto" w:cs="Roboto" w:eastAsia="Roboto" w:hAnsi="Roboto"/>
          <w:b/>
          <w:bCs/>
          <w:color w:val="535B50"/>
          <w:sz w:val="22"/>
          <w:szCs w:val="22"/>
        </w:rPr>
        <w:t xml:space="preserve">2-OH(E1+E2)/16-OH-E1 ratio</w:t>
      </w:r>
      <w:r>
        <w:rPr>
          <w:rFonts w:ascii="Roboto" w:cs="Roboto" w:eastAsia="Roboto" w:hAnsi="Roboto"/>
          <w:color w:val="000000"/>
          <w:sz w:val="22"/>
          <w:szCs w:val="22"/>
        </w:rPr>
        <w:t xml:space="preserve">   0.60</w:t>
      </w:r>
      <w:r>
        <w:rPr>
          <w:rFonts w:ascii="Roboto" w:cs="Roboto" w:eastAsia="Roboto" w:hAnsi="Roboto"/>
          <w:i/>
          <w:iCs/>
          <w:color w:val="666666"/>
          <w:sz w:val="20"/>
          <w:szCs w:val="20"/>
        </w:rPr>
        <w:t xml:space="preserve">   (ref: 1.10–5.60)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Below the laboratory reference range. Per the laboratory framework this is consistent with a relative 16-OH pathway dominance and a candidate target for Phase I pathway support.</w:t>
      </w:r>
    </w:p>
    <w:p>
      <w:pPr>
        <w:spacing w:after="60" w:before="120"/>
      </w:pPr>
      <w:r>
        <w:rPr>
          <w:rFonts w:ascii="Roboto" w:cs="Roboto" w:eastAsia="Roboto" w:hAnsi="Roboto"/>
          <w:b/>
          <w:bCs/>
          <w:color w:val="535B50"/>
          <w:sz w:val="22"/>
          <w:szCs w:val="22"/>
        </w:rPr>
        <w:t xml:space="preserve">2-MeOH Estrone</w:t>
      </w:r>
      <w:r>
        <w:rPr>
          <w:rFonts w:ascii="Roboto" w:cs="Roboto" w:eastAsia="Roboto" w:hAnsi="Roboto"/>
          <w:color w:val="000000"/>
          <w:sz w:val="22"/>
          <w:szCs w:val="22"/>
        </w:rPr>
        <w:t xml:space="preserve">   0.01 ug/gCR</w:t>
      </w:r>
      <w:r>
        <w:rPr>
          <w:rFonts w:ascii="Roboto" w:cs="Roboto" w:eastAsia="Roboto" w:hAnsi="Roboto"/>
          <w:i/>
          <w:iCs/>
          <w:color w:val="666666"/>
          <w:sz w:val="20"/>
          <w:szCs w:val="20"/>
        </w:rPr>
        <w:t xml:space="preserve">   (ref: 0.02–0.20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Below the laboratory reference range. Given the very low 2-OH substrate (0.04), this likely reflects substrate limitation rather than COMT enzymatic insufficiency — the 2-MeOE1/2-OHE1 ratio of 0.30 is within reference (0.05–0.50).</w:t>
      </w:r>
    </w:p>
    <w:p>
      <w:pPr>
        <w:spacing w:after="60" w:before="120"/>
      </w:pPr>
      <w:r>
        <w:rPr>
          <w:rFonts w:ascii="Roboto" w:cs="Roboto" w:eastAsia="Roboto" w:hAnsi="Roboto"/>
          <w:b/>
          <w:bCs/>
          <w:color w:val="535B50"/>
          <w:sz w:val="22"/>
          <w:szCs w:val="22"/>
        </w:rPr>
        <w:t xml:space="preserve">2-MeOH Estradiol</w:t>
      </w:r>
      <w:r>
        <w:rPr>
          <w:rFonts w:ascii="Roboto" w:cs="Roboto" w:eastAsia="Roboto" w:hAnsi="Roboto"/>
          <w:color w:val="000000"/>
          <w:sz w:val="22"/>
          <w:szCs w:val="22"/>
        </w:rPr>
        <w:t xml:space="preserve">   0.01 ug/gCR</w:t>
      </w:r>
      <w:r>
        <w:rPr>
          <w:rFonts w:ascii="Roboto" w:cs="Roboto" w:eastAsia="Roboto" w:hAnsi="Roboto"/>
          <w:i/>
          <w:iCs/>
          <w:color w:val="666666"/>
          <w:sz w:val="20"/>
          <w:szCs w:val="20"/>
        </w:rPr>
        <w:t xml:space="preserve">   (ref: 0.01–0.08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At the lower limit of the reference range. Same substrate-limitation context as 2-MeOH Estrone.</w:t>
      </w:r>
    </w:p>
    <w:p>
      <w:pPr>
        <w:spacing w:after="60" w:before="120"/>
      </w:pPr>
      <w:r>
        <w:rPr>
          <w:rFonts w:ascii="Roboto" w:cs="Roboto" w:eastAsia="Roboto" w:hAnsi="Roboto"/>
          <w:b/>
          <w:bCs/>
          <w:color w:val="535B50"/>
          <w:sz w:val="22"/>
          <w:szCs w:val="22"/>
        </w:rPr>
        <w:t xml:space="preserve">4-MeOE2/4-OHE2 ratio</w:t>
      </w:r>
      <w:r>
        <w:rPr>
          <w:rFonts w:ascii="Roboto" w:cs="Roboto" w:eastAsia="Roboto" w:hAnsi="Roboto"/>
          <w:color w:val="000000"/>
          <w:sz w:val="22"/>
          <w:szCs w:val="22"/>
        </w:rPr>
        <w:t xml:space="preserve">   4.39</w:t>
      </w:r>
      <w:r>
        <w:rPr>
          <w:rFonts w:ascii="Roboto" w:cs="Roboto" w:eastAsia="Roboto" w:hAnsi="Roboto"/>
          <w:i/>
          <w:iCs/>
          <w:color w:val="666666"/>
          <w:sz w:val="20"/>
          <w:szCs w:val="20"/>
        </w:rPr>
        <w:t xml:space="preserve">   (ref: 0.06–1.03)</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Per the laboratory framework this generally reflects efficient methylation clearance of the 4-OH oestradiol metabolite — informational.</w:t>
      </w:r>
    </w:p>
    <w:p>
      <w:pPr>
        <w:spacing w:after="60" w:before="120"/>
      </w:pPr>
      <w:r>
        <w:rPr>
          <w:rFonts w:ascii="Roboto" w:cs="Roboto" w:eastAsia="Roboto" w:hAnsi="Roboto"/>
          <w:b/>
          <w:bCs/>
          <w:color w:val="535B50"/>
          <w:sz w:val="22"/>
          <w:szCs w:val="22"/>
        </w:rPr>
        <w:t xml:space="preserve">Estrogen Quotient (E3/[E1+E2])</w:t>
      </w:r>
      <w:r>
        <w:rPr>
          <w:rFonts w:ascii="Roboto" w:cs="Roboto" w:eastAsia="Roboto" w:hAnsi="Roboto"/>
          <w:color w:val="000000"/>
          <w:sz w:val="22"/>
          <w:szCs w:val="22"/>
        </w:rPr>
        <w:t xml:space="preserve">   0.24</w:t>
      </w:r>
      <w:r>
        <w:rPr>
          <w:rFonts w:ascii="Roboto" w:cs="Roboto" w:eastAsia="Roboto" w:hAnsi="Roboto"/>
          <w:i/>
          <w:iCs/>
          <w:color w:val="666666"/>
          <w:sz w:val="20"/>
          <w:szCs w:val="20"/>
        </w:rPr>
        <w:t xml:space="preserve">   (ref: &gt;0.25)</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Marginally below the laboratory reference threshold. Informational; supports the overall hormone_metabolism axis emphasis.</w:t>
      </w:r>
    </w:p>
    <w:p>
      <w:pPr>
        <w:spacing w:after="60" w:before="120"/>
      </w:pPr>
      <w:r>
        <w:rPr>
          <w:rFonts w:ascii="Roboto" w:cs="Roboto" w:eastAsia="Roboto" w:hAnsi="Roboto"/>
          <w:b/>
          <w:bCs/>
          <w:color w:val="535B50"/>
          <w:sz w:val="22"/>
          <w:szCs w:val="22"/>
        </w:rPr>
        <w:t xml:space="preserve">Metabolic Syndrome symptom category score</w:t>
      </w:r>
      <w:r>
        <w:rPr>
          <w:rFonts w:ascii="Roboto" w:cs="Roboto" w:eastAsia="Roboto" w:hAnsi="Roboto"/>
          <w:color w:val="000000"/>
          <w:sz w:val="22"/>
          <w:szCs w:val="22"/>
        </w:rPr>
        <w:t xml:space="preserve">   36.67%</w:t>
      </w:r>
      <w:r>
        <w:rPr>
          <w:rFonts w:ascii="Roboto" w:cs="Roboto" w:eastAsia="Roboto" w:hAnsi="Roboto"/>
          <w:i/>
          <w:iCs/>
          <w:color w:val="666666"/>
          <w:sz w:val="20"/>
          <w:szCs w:val="20"/>
        </w:rPr>
        <w:t xml:space="preserve">   (ref: &lt;25% (axis activation threshold per N of 1 framework))</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Activates the blood_glucose_insulin and mitochondrial_cardiovascular axes per the N of 1 symptom-matrix framework. Supporting symptoms include MILD elevated triglycerides and high cholesterol, MODERATE high blood pressure and weight gain (breasts/hips), and SEVERE waist weight gain.</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Drives inclusion of berberine and bergamot for glycaemic/lipid support, and CoQ10 for mitochondrial-cardiovascular support.</w:t>
      </w:r>
    </w:p>
    <w:p>
      <w:pPr>
        <w:spacing w:after="60" w:before="120"/>
      </w:pPr>
      <w:r>
        <w:rPr>
          <w:rFonts w:ascii="Roboto" w:cs="Roboto" w:eastAsia="Roboto" w:hAnsi="Roboto"/>
          <w:b/>
          <w:bCs/>
          <w:color w:val="535B50"/>
          <w:sz w:val="22"/>
          <w:szCs w:val="22"/>
        </w:rPr>
        <w:t xml:space="preserve">Estrogen Dominance/Progesterone Deficiency symptom category score</w:t>
      </w:r>
      <w:r>
        <w:rPr>
          <w:rFonts w:ascii="Roboto" w:cs="Roboto" w:eastAsia="Roboto" w:hAnsi="Roboto"/>
          <w:color w:val="000000"/>
          <w:sz w:val="22"/>
          <w:szCs w:val="22"/>
        </w:rPr>
        <w:t xml:space="preserve">   33.33%</w:t>
      </w:r>
      <w:r>
        <w:rPr>
          <w:rFonts w:ascii="Roboto" w:cs="Roboto" w:eastAsia="Roboto" w:hAnsi="Roboto"/>
          <w:i/>
          <w:iCs/>
          <w:color w:val="666666"/>
          <w:sz w:val="20"/>
          <w:szCs w:val="20"/>
        </w:rPr>
        <w:t xml:space="preserve">   (ref: &lt;25% (axis activation threshold))</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Activates hormone_metabolism axis (already biomarker-supported, so this axis is primary).</w:t>
      </w:r>
    </w:p>
    <w:p>
      <w:pPr>
        <w:spacing w:after="60" w:before="120"/>
      </w:pPr>
      <w:r>
        <w:rPr>
          <w:rFonts w:ascii="Roboto" w:cs="Roboto" w:eastAsia="Roboto" w:hAnsi="Roboto"/>
          <w:b/>
          <w:bCs/>
          <w:color w:val="535B50"/>
          <w:sz w:val="22"/>
          <w:szCs w:val="22"/>
        </w:rPr>
        <w:t xml:space="preserve">Low Androgens symptom category score</w:t>
      </w:r>
      <w:r>
        <w:rPr>
          <w:rFonts w:ascii="Roboto" w:cs="Roboto" w:eastAsia="Roboto" w:hAnsi="Roboto"/>
          <w:color w:val="000000"/>
          <w:sz w:val="22"/>
          <w:szCs w:val="22"/>
        </w:rPr>
        <w:t xml:space="preserve">   31.11%</w:t>
      </w:r>
      <w:r>
        <w:rPr>
          <w:rFonts w:ascii="Roboto" w:cs="Roboto" w:eastAsia="Roboto" w:hAnsi="Roboto"/>
          <w:i/>
          <w:iCs/>
          <w:color w:val="666666"/>
          <w:sz w:val="20"/>
          <w:szCs w:val="20"/>
        </w:rPr>
        <w:t xml:space="preserve">   (ref: &lt;25%)</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Activates hormone_metabolism and minerals axes per the framework; biomarker context (testosterone in upper-normal range) is mixed.</w:t>
      </w:r>
    </w:p>
    <w:p>
      <w:pPr>
        <w:spacing w:after="60" w:before="120"/>
      </w:pPr>
      <w:r>
        <w:rPr>
          <w:rFonts w:ascii="Roboto" w:cs="Roboto" w:eastAsia="Roboto" w:hAnsi="Roboto"/>
          <w:b/>
          <w:bCs/>
          <w:color w:val="535B50"/>
          <w:sz w:val="22"/>
          <w:szCs w:val="22"/>
        </w:rPr>
        <w:t xml:space="preserve">High Androgens symptom category score</w:t>
      </w:r>
      <w:r>
        <w:rPr>
          <w:rFonts w:ascii="Roboto" w:cs="Roboto" w:eastAsia="Roboto" w:hAnsi="Roboto"/>
          <w:color w:val="000000"/>
          <w:sz w:val="22"/>
          <w:szCs w:val="22"/>
        </w:rPr>
        <w:t xml:space="preserve">   33.33%</w:t>
      </w:r>
      <w:r>
        <w:rPr>
          <w:rFonts w:ascii="Roboto" w:cs="Roboto" w:eastAsia="Roboto" w:hAnsi="Roboto"/>
          <w:i/>
          <w:iCs/>
          <w:color w:val="666666"/>
          <w:sz w:val="20"/>
          <w:szCs w:val="20"/>
        </w:rPr>
        <w:t xml:space="preserve">   (ref: &lt;25%)</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Activates hormone_metabolism and minerals axes per the framework. The co-presence of Low Androgens and High Androgens symptom flags is unusual and warrants practitioner correlation with clinical presentation.</w:t>
      </w:r>
    </w:p>
    <w:p>
      <w:pPr>
        <w:spacing w:after="60" w:before="120"/>
      </w:pPr>
      <w:r>
        <w:rPr>
          <w:rFonts w:ascii="Roboto" w:cs="Roboto" w:eastAsia="Roboto" w:hAnsi="Roboto"/>
          <w:b/>
          <w:bCs/>
          <w:color w:val="535B50"/>
          <w:sz w:val="22"/>
          <w:szCs w:val="22"/>
        </w:rPr>
        <w:t xml:space="preserve">Low Cortisol symptom category score</w:t>
      </w:r>
      <w:r>
        <w:rPr>
          <w:rFonts w:ascii="Roboto" w:cs="Roboto" w:eastAsia="Roboto" w:hAnsi="Roboto"/>
          <w:color w:val="000000"/>
          <w:sz w:val="22"/>
          <w:szCs w:val="22"/>
        </w:rPr>
        <w:t xml:space="preserve">   28.57%</w:t>
      </w:r>
      <w:r>
        <w:rPr>
          <w:rFonts w:ascii="Roboto" w:cs="Roboto" w:eastAsia="Roboto" w:hAnsi="Roboto"/>
          <w:i/>
          <w:iCs/>
          <w:color w:val="666666"/>
          <w:sz w:val="20"/>
          <w:szCs w:val="20"/>
        </w:rPr>
        <w:t xml:space="preserve">   (ref: &lt;25%)</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Activates the thyroid_adaptogenic axis (HPA-hypocortisolism pattern), corroborated by the low total urinary cortisol biomarker — secondary priority per N of 1 framework (biomarker plus symptom support).</w:t>
      </w:r>
    </w:p>
    <w:p>
      <w:pPr>
        <w:spacing w:after="60" w:before="120"/>
      </w:pPr>
      <w:r>
        <w:rPr>
          <w:rFonts w:ascii="Roboto" w:cs="Roboto" w:eastAsia="Roboto" w:hAnsi="Roboto"/>
          <w:b/>
          <w:bCs/>
          <w:color w:val="535B50"/>
          <w:sz w:val="22"/>
          <w:szCs w:val="22"/>
        </w:rPr>
        <w:t xml:space="preserve">High Cortisol symptom category score</w:t>
      </w:r>
      <w:r>
        <w:rPr>
          <w:rFonts w:ascii="Roboto" w:cs="Roboto" w:eastAsia="Roboto" w:hAnsi="Roboto"/>
          <w:color w:val="000000"/>
          <w:sz w:val="22"/>
          <w:szCs w:val="22"/>
        </w:rPr>
        <w:t xml:space="preserve">   29.82%</w:t>
      </w:r>
      <w:r>
        <w:rPr>
          <w:rFonts w:ascii="Roboto" w:cs="Roboto" w:eastAsia="Roboto" w:hAnsi="Roboto"/>
          <w:i/>
          <w:iCs/>
          <w:color w:val="666666"/>
          <w:sz w:val="20"/>
          <w:szCs w:val="20"/>
        </w:rPr>
        <w:t xml:space="preserve">   (ref: &lt;25%)</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Activates the thyroid_adaptogenic axis (HPA-overactive pattern). Biomarker data (low total cortisol) does not corroborate; this likely reflects autonomic-arousal symptoms (palpitations, nervousness, irritability) rather than true hypercortisolism — for practitioner consideration.</w:t>
      </w:r>
    </w:p>
    <w:p>
      <w:pPr>
        <w:spacing w:after="60" w:before="120"/>
      </w:pPr>
      <w:r>
        <w:rPr>
          <w:rFonts w:ascii="Roboto" w:cs="Roboto" w:eastAsia="Roboto" w:hAnsi="Roboto"/>
          <w:b/>
          <w:bCs/>
          <w:color w:val="535B50"/>
          <w:sz w:val="22"/>
          <w:szCs w:val="22"/>
        </w:rPr>
        <w:t xml:space="preserve">Hypometabolism symptom category score</w:t>
      </w:r>
      <w:r>
        <w:rPr>
          <w:rFonts w:ascii="Roboto" w:cs="Roboto" w:eastAsia="Roboto" w:hAnsi="Roboto"/>
          <w:color w:val="000000"/>
          <w:sz w:val="22"/>
          <w:szCs w:val="22"/>
        </w:rPr>
        <w:t xml:space="preserve">   29.17%</w:t>
      </w:r>
      <w:r>
        <w:rPr>
          <w:rFonts w:ascii="Roboto" w:cs="Roboto" w:eastAsia="Roboto" w:hAnsi="Roboto"/>
          <w:i/>
          <w:iCs/>
          <w:color w:val="666666"/>
          <w:sz w:val="20"/>
          <w:szCs w:val="20"/>
        </w:rPr>
        <w:t xml:space="preserve">   (ref: &lt;25%)</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Activates thyroid_adaptogenic and mitochondrial_cardiovascular axes per the framework. Thyroid biomarkers are not measured on this panel — practitioner may consider correlating with thyroid function testing.</w:t>
      </w:r>
    </w:p>
    <w:p>
      <w:pPr>
        <w:spacing w:after="60" w:before="120"/>
      </w:pPr>
      <w:r>
        <w:rPr>
          <w:rFonts w:ascii="Roboto" w:cs="Roboto" w:eastAsia="Roboto" w:hAnsi="Roboto"/>
          <w:b/>
          <w:bCs/>
          <w:color w:val="535B50"/>
          <w:sz w:val="22"/>
          <w:szCs w:val="22"/>
        </w:rPr>
        <w:t xml:space="preserve">Estrogen &amp; Progesterone Deficiency symptom category score</w:t>
      </w:r>
      <w:r>
        <w:rPr>
          <w:rFonts w:ascii="Roboto" w:cs="Roboto" w:eastAsia="Roboto" w:hAnsi="Roboto"/>
          <w:color w:val="000000"/>
          <w:sz w:val="22"/>
          <w:szCs w:val="22"/>
        </w:rPr>
        <w:t xml:space="preserve">   23.81%</w:t>
      </w:r>
      <w:r>
        <w:rPr>
          <w:rFonts w:ascii="Roboto" w:cs="Roboto" w:eastAsia="Roboto" w:hAnsi="Roboto"/>
          <w:i/>
          <w:iCs/>
          <w:color w:val="666666"/>
          <w:sz w:val="20"/>
          <w:szCs w:val="20"/>
        </w:rPr>
        <w:t xml:space="preserve">   (ref: &lt;25%)</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Just below the activation threshold; not a primary driver. Informational.</w:t>
      </w:r>
    </w:p>
    <w:p>
      <w:pPr>
        <w:spacing w:after="60" w:before="120"/>
      </w:pPr>
      <w:r>
        <w:rPr>
          <w:rFonts w:ascii="Roboto" w:cs="Roboto" w:eastAsia="Roboto" w:hAnsi="Roboto"/>
          <w:b/>
          <w:bCs/>
          <w:color w:val="535B50"/>
          <w:sz w:val="22"/>
          <w:szCs w:val="22"/>
        </w:rPr>
        <w:t xml:space="preserve">BPA, PFAS, PFOA, PFOS (urinary)</w:t>
      </w:r>
      <w:r>
        <w:rPr>
          <w:rFonts w:ascii="Roboto" w:cs="Roboto" w:eastAsia="Roboto" w:hAnsi="Roboto"/>
          <w:color w:val="000000"/>
          <w:sz w:val="22"/>
          <w:szCs w:val="22"/>
        </w:rPr>
        <w:t xml:space="preserve">   0.13, 0.02, 0.00, 0.02 ug/gCR respectively</w:t>
      </w:r>
      <w:r>
        <w:rPr>
          <w:rFonts w:ascii="Roboto" w:cs="Roboto" w:eastAsia="Roboto" w:hAnsi="Roboto"/>
          <w:i/>
          <w:iCs/>
          <w:color w:val="666666"/>
          <w:sz w:val="20"/>
          <w:szCs w:val="20"/>
        </w:rPr>
        <w:t xml:space="preserve">   (ref: &lt;4.00, &lt;0.70, &lt;0.10, &lt;0.60 ug/gCR)</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All endocrine disruptor markers well below laboratory upper reference. Suggests low current xenoestrogen burden — heavy_metal_detox axis is not biomarker-driven on this submission.</w:t>
      </w:r>
    </w:p>
    <w:p>
      <w:pPr>
        <w:spacing w:after="60" w:before="120"/>
      </w:pPr>
      <w:r>
        <w:rPr>
          <w:rFonts w:ascii="Roboto" w:cs="Roboto" w:eastAsia="Roboto" w:hAnsi="Roboto"/>
          <w:b/>
          <w:bCs/>
          <w:color w:val="535B50"/>
          <w:sz w:val="22"/>
          <w:szCs w:val="22"/>
        </w:rPr>
        <w:t xml:space="preserve">Heavy metals (Al, As, Cd, Pb, Hg, Ni, Cr — urinary)</w:t>
      </w:r>
      <w:r>
        <w:rPr>
          <w:rFonts w:ascii="Roboto" w:cs="Roboto" w:eastAsia="Roboto" w:hAnsi="Roboto"/>
          <w:color w:val="000000"/>
          <w:sz w:val="22"/>
          <w:szCs w:val="22"/>
        </w:rPr>
        <w:t xml:space="preserve">   All below detection limit or well within reference (Cr 0.49, Ni 0.02)</w:t>
      </w:r>
      <w:r>
        <w:rPr>
          <w:rFonts w:ascii="Roboto" w:cs="Roboto" w:eastAsia="Roboto" w:hAnsi="Roboto"/>
          <w:i/>
          <w:iCs/>
          <w:color w:val="666666"/>
          <w:sz w:val="20"/>
          <w:szCs w:val="20"/>
        </w:rPr>
        <w:t xml:space="preserve">   (ref: All below respective upper reference limits)</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No biomarker evidence of heavy metal burden on this panel. Selenium-related and copper-related FBP binding exclusions are not directly applicable on this HMP panel.</w:t>
      </w:r>
    </w:p>
    <w:p>
      <w:pPr>
        <w:pBdr>
          <w:bottom w:val="single" w:color="C3AF88" w:sz="6" w:space="4"/>
        </w:pBdr>
        <w:spacing w:after="180" w:before="360"/>
      </w:pPr>
      <w:r>
        <w:rPr>
          <w:rFonts w:ascii="Roboto" w:cs="Roboto" w:eastAsia="Roboto" w:hAnsi="Roboto"/>
          <w:b/>
          <w:bCs/>
          <w:color w:val="535B50"/>
          <w:sz w:val="28"/>
          <w:szCs w:val="28"/>
        </w:rPr>
        <w:t xml:space="preserve">Section 3 — Diet and Lifestyle Considerations</w:t>
      </w:r>
    </w:p>
    <w:p>
      <w:pPr>
        <w:spacing w:after="240"/>
      </w:pPr>
      <w:r>
        <w:rPr>
          <w:rFonts w:ascii="Roboto" w:cs="Roboto" w:eastAsia="Roboto" w:hAnsi="Roboto"/>
          <w:b w:val="false"/>
          <w:bCs w:val="false"/>
          <w:color w:val="000000"/>
          <w:sz w:val="22"/>
          <w:szCs w:val="22"/>
        </w:rPr>
        <w:t xml:space="preserve">The following considerations are surfaced for practitioner-led discussion. They sit alongside the recommended formulation rather than substituting for it.</w:t>
      </w:r>
    </w:p>
    <w:p>
      <w:pPr>
        <w:spacing w:after="60" w:before="120"/>
      </w:pPr>
      <w:r>
        <w:rPr>
          <w:rFonts w:ascii="Roboto" w:cs="Roboto" w:eastAsia="Roboto" w:hAnsi="Roboto"/>
          <w:b/>
          <w:bCs/>
          <w:color w:val="535B50"/>
          <w:sz w:val="22"/>
          <w:szCs w:val="22"/>
        </w:rPr>
        <w:t xml:space="preserve">Cruciferous vegetable intake</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The practitioner may wish to discuss with the patient the role of cruciferous vegetable intake (broccoli, kale, brussels sprouts, cabbage) as a dietary source of indole-3-carbinol/DIM precursors that published literature associates with Phase I 2-hydroxylation pathway support.</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Aligns with the recognised 16-OH-dominant pattern and low 2-OH oestrogen output.</w:t>
      </w:r>
    </w:p>
    <w:p>
      <w:pPr>
        <w:spacing w:after="60" w:before="120"/>
      </w:pPr>
      <w:r>
        <w:rPr>
          <w:rFonts w:ascii="Roboto" w:cs="Roboto" w:eastAsia="Roboto" w:hAnsi="Roboto"/>
          <w:b/>
          <w:bCs/>
          <w:color w:val="535B50"/>
          <w:sz w:val="22"/>
          <w:szCs w:val="22"/>
        </w:rPr>
        <w:t xml:space="preserve">Sleep and circadian rhythm</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Given the SEVERE 'difficulty sleeping' symptom and the low total urinary cortisol, the practitioner may wish to discuss sleep hygiene, consistent wake times and morning light exposure with the patient as components of HPA-axis restoration per integrative medicine frameworks.</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Hypocortisolism patterns commonly co-occur with circadian disruption per published literature.</w:t>
      </w:r>
    </w:p>
    <w:p>
      <w:pPr>
        <w:spacing w:after="60" w:before="120"/>
      </w:pPr>
      <w:r>
        <w:rPr>
          <w:rFonts w:ascii="Roboto" w:cs="Roboto" w:eastAsia="Roboto" w:hAnsi="Roboto"/>
          <w:b/>
          <w:bCs/>
          <w:color w:val="535B50"/>
          <w:sz w:val="22"/>
          <w:szCs w:val="22"/>
        </w:rPr>
        <w:t xml:space="preserve">Stress load and recovery</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The MILD/MODERATE stress, nervousness, mental fatigue and burned-out symptoms together with the low cortisol biomarker may warrant practitioner discussion of stress-load management strategies (paced activity, restorative practices) with the patient.</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Supports the adaptogenic axis rather than relying solely on supplement support.</w:t>
      </w:r>
    </w:p>
    <w:p>
      <w:pPr>
        <w:spacing w:after="60" w:before="120"/>
      </w:pPr>
      <w:r>
        <w:rPr>
          <w:rFonts w:ascii="Roboto" w:cs="Roboto" w:eastAsia="Roboto" w:hAnsi="Roboto"/>
          <w:b/>
          <w:bCs/>
          <w:color w:val="535B50"/>
          <w:sz w:val="22"/>
          <w:szCs w:val="22"/>
        </w:rPr>
        <w:t xml:space="preserve">Cardiometabolic dietary pattern</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With Metabolic Syndrome symptoms (waist weight gain SEVERE, MODERATE high blood pressure, MILD elevated triglycerides and cholesterol), the practitioner may wish to discuss a Mediterranean-pattern diet, fibre intake and refined-carbohydrate moderation with the patient.</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Aligns with the activated blood_glucose_insulin and mitochondrial_cardiovascular axes.</w:t>
      </w:r>
    </w:p>
    <w:p>
      <w:pPr>
        <w:spacing w:after="60" w:before="120"/>
      </w:pPr>
      <w:r>
        <w:rPr>
          <w:rFonts w:ascii="Roboto" w:cs="Roboto" w:eastAsia="Roboto" w:hAnsi="Roboto"/>
          <w:b/>
          <w:bCs/>
          <w:color w:val="535B50"/>
          <w:sz w:val="22"/>
          <w:szCs w:val="22"/>
        </w:rPr>
        <w:t xml:space="preserve">Body composition and aromatase</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Adipose-tissue aromatase activity is described in published literature as a contributor to peripheral oestrogen production in males; the practitioner may wish to discuss body composition goals in this context.</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Provides a non-supplement lever for the hormone_metabolism axis.</w:t>
      </w:r>
    </w:p>
    <w:p>
      <w:pPr>
        <w:spacing w:after="60" w:before="120"/>
      </w:pPr>
      <w:r>
        <w:rPr>
          <w:rFonts w:ascii="Roboto" w:cs="Roboto" w:eastAsia="Roboto" w:hAnsi="Roboto"/>
          <w:b/>
          <w:bCs/>
          <w:color w:val="535B50"/>
          <w:sz w:val="22"/>
          <w:szCs w:val="22"/>
        </w:rPr>
        <w:t xml:space="preserve">Alcohol intake</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Published literature describes alcohol's effects on hepatic oestrogen clearance and HPA-axis function; the practitioner may wish to assess and discuss intake with the patient.</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Relevant to both hormone_metabolism and HPA findings.</w:t>
      </w:r>
    </w:p>
    <w:p>
      <w:pPr>
        <w:pBdr>
          <w:bottom w:val="single" w:color="C3AF88" w:sz="6" w:space="4"/>
        </w:pBdr>
        <w:spacing w:after="180" w:before="360"/>
      </w:pPr>
      <w:r>
        <w:rPr>
          <w:rFonts w:ascii="Roboto" w:cs="Roboto" w:eastAsia="Roboto" w:hAnsi="Roboto"/>
          <w:b/>
          <w:bCs/>
          <w:color w:val="535B50"/>
          <w:sz w:val="28"/>
          <w:szCs w:val="28"/>
        </w:rPr>
        <w:t xml:space="preserve">Section 4 — Recommended Formulation Logic</w:t>
      </w:r>
    </w:p>
    <w:p>
      <w:pPr>
        <w:spacing w:after="180" w:before="240"/>
      </w:pPr>
      <w:r>
        <w:rPr>
          <w:rFonts w:ascii="Roboto" w:cs="Roboto" w:eastAsia="Roboto" w:hAnsi="Roboto"/>
          <w:b/>
          <w:bCs/>
          <w:color w:val="535B50"/>
          <w:sz w:val="24"/>
          <w:szCs w:val="24"/>
        </w:rPr>
        <w:t xml:space="preserve">Overall strategy</w:t>
      </w:r>
    </w:p>
    <w:p>
      <w:pPr>
        <w:spacing w:after="120"/>
      </w:pPr>
      <w:r>
        <w:rPr>
          <w:rFonts w:ascii="Roboto" w:cs="Roboto" w:eastAsia="Roboto" w:hAnsi="Roboto"/>
          <w:b w:val="false"/>
          <w:bCs w:val="false"/>
          <w:color w:val="000000"/>
          <w:sz w:val="22"/>
          <w:szCs w:val="22"/>
        </w:rPr>
        <w:t xml:space="preserve">This is a single-class HMP submission (EndoSCAN) in a 53-year-old male. The recognised patterns are HPA-hypocortisolism, 16-OH-dominant oestrogen Phase I, substrate-limited Phase II methylation, a strong cardiometabolic symptom load and an autonomic-arousal overlay. The pod is constructed around hormone_metabolism as a primary axis (biomarker-supported), thyroid_adaptogenic as a primary axis (biomarker-supported via low cortisol), antioxidant_redox and b_vitamins_methylation as secondary axes supporting Phase II oestrogen clearance and COMT substrate flux, minerals as a secondary axis (Mg as COMT cofactor + adrenal support, Zn as androgen-axis cofactor), mitochondrial_cardiovascular as a secondary axis (CoQ10 for HPA + cardiometabolic dual relevance), blood_glucose_insulin as a supportive axis (berberine, addressing the strong cardiometabolic symptom load), and vitamin_d_c_neurotransmitter as a supportive axis (vitamin C for adrenal cofactor support). Stimulating adaptogens (Panax ginseng, rhodiola at higher doses) are flagged for practitioner caution given the autonomic-arousal symptoms. The pod is filled across 18 ingredients to the upper bound below 700 granules.</w:t>
      </w:r>
    </w:p>
    <w:p>
      <w:pPr>
        <w:spacing w:after="180" w:before="240"/>
      </w:pPr>
      <w:r>
        <w:rPr>
          <w:rFonts w:ascii="Roboto" w:cs="Roboto" w:eastAsia="Roboto" w:hAnsi="Roboto"/>
          <w:b/>
          <w:bCs/>
          <w:color w:val="535B50"/>
          <w:sz w:val="24"/>
          <w:szCs w:val="24"/>
        </w:rPr>
        <w:t xml:space="preserve">What was intentionally included, and why</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Ashwagandha (hormone_metabolism axis foundational adaptogen; HPA-hypocortisolism stack anchor; appropriate for both adrenal and androgen-axis findings per published frameworks)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Rhodiola (HPA support; included at conservative dose given autonomic-arousal symptoms)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American ginseng (HPA support without the stronger stimulant profile of Panax ginseng; conservative inclusion)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DIM (Phase I oestrogen pathway-shifting candidate for the 16-OH-dominant pattern)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Calcium D-glucarate (Phase II oestrogen clearance via beta-glucuronidase inhibition per published frameworks)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Resveratrol (hormone_metabolism axis adjunct with aromatase modulation literature)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Milk thistle (hepatic Phase II support including Nrf2-mediated glutathione conjugation)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NAC (antioxidant/redox axis; supports glutathione conjugation of oestrogen quinones)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Quercetin (antioxidant; modulates CYP1B1 per published literature; complements Phase I rebalancing)</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Methylcobalamin (b_vitamins_methylation; methyl-donor support for COMT substrate)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Calcium folinate (b_vitamins_methylation; methyl-donor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Pyridoxal-5-phosphate / P5P (cofactor for transsulfuration and broad methylation/neurotransmitter support; B5 alternative not used due to choosing P5P)</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Pantothenic acid / B5 (classical adrenal cofactor per published frameworks for HPA-hypocortisolism)</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Magnesium glycinate (COMT cofactor and broad relaxation/HPA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Zinc citrate (hormone_metabolism axis cofactor; conservative dose given mixed androgen picture)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Coenzyme Q10 (mitochondrial-cardiovascular axis; relevant for both HPA-hypocortisolism and cardiometabolic symptom load)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Berberine (blood_glucose_insulin axis; addresses the activated Metabolic Syndrome symptom category)</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Vitamin C (vitamin_d_c_neurotransmitter axis; adrenal cofactor for HPA support per published frameworks)</w:t>
      </w:r>
    </w:p>
    <w:p>
      <w:pPr>
        <w:spacing w:after="180" w:before="240"/>
      </w:pPr>
      <w:r>
        <w:rPr>
          <w:rFonts w:ascii="Roboto" w:cs="Roboto" w:eastAsia="Roboto" w:hAnsi="Roboto"/>
          <w:b/>
          <w:bCs/>
          <w:color w:val="535B50"/>
          <w:sz w:val="24"/>
          <w:szCs w:val="24"/>
        </w:rPr>
        <w:t xml:space="preserve">What was intentionally excluded, and why</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Licorice / Glycyrrhiza (any form including DGL and standardised licorice) — Binding exclusion applied. The symptom matrix shows MODERATE 'high blood pressure' and the cardiovascular/metabolic syndrome category scores 36.67%. Glycyrrhizinic acid inhibits 11β-HSD2 and can elevate blood pressure via cortisol-mediated mineralocorticoid effect — excluded despite the low cortisol biomarker because the BP symptom risk is the binding concern, not the cortisol context.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Saw palmetto — Considered but deprioritised. Although the High Androgens symptom category is ≥25%, the urinary testosterone is within range and the Low Androgens category is also activated — the androgen picture is mixed and saw palmetto's 5-alpha-reductase action is not clearly indicated. Practitioner may add separately if clinical context supports.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Vitex / Chaste tree — Not appropriate for a male patient (no LH-mediated progesterone signalling context to support).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High-dose Panax ginseng — Deprioritised in favour of American ginseng given the autonomic-arousal symptom overlay (palpitations, nervousness, rapid heartbeat). Practitioner may consider Panax ginseng separately if tolerated.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High-dose iodine — Binding-exclusion-style caution applied: Hypometabolism symptom category 29.17% activates thyroid concern but thyroid antibody status is not measured on this panel. Iodine has not been included in the pod; the practitioner may consider conservative iodine (≤150 mcg) independently after antibody status is established.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Selenium — Red-cell selenium not measured on this panel. Not included by default given the precision-formulation principle that selenium is reserved for cases with biomarker evidence supporting it; practitioner may consider separately with appropriate testing.</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Iron — No iron-deficiency context; ferritin/transferrin saturation not measured on this panel; not indicated.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Copper — No Cu:Zn data on this panel; not indicated by default and conservative omission is appropriate.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5-HTP — Not included given absence of medication context in clinical notes — the standard serotonergic-medication contraindication check cannot be cleared. Practitioner may add separately if medication context allows.</w:t>
      </w:r>
    </w:p>
    <w:p>
      <w:pPr>
        <w:spacing w:after="240"/>
      </w:pPr>
      <w:r>
        <w:rPr>
          <w:rFonts w:ascii="Roboto" w:cs="Roboto" w:eastAsia="Roboto" w:hAnsi="Roboto"/>
          <w:b w:val="false"/>
          <w:bCs w:val="false"/>
          <w:color w:val="000000"/>
          <w:sz w:val="22"/>
          <w:szCs w:val="22"/>
        </w:rPr>
        <w:t xml:space="preserve">The detailed ingredient-by-ingredient formulation, including doses, granule counts, and per-ingredient rationale, is in the companion Recommended Formulation Schedule (.xlsx).</w:t>
      </w:r>
    </w:p>
    <w:p>
      <w:pPr>
        <w:pBdr>
          <w:bottom w:val="single" w:color="C3AF88" w:sz="6" w:space="4"/>
        </w:pBdr>
        <w:spacing w:after="180" w:before="360"/>
      </w:pPr>
      <w:r>
        <w:rPr>
          <w:rFonts w:ascii="Roboto" w:cs="Roboto" w:eastAsia="Roboto" w:hAnsi="Roboto"/>
          <w:b/>
          <w:bCs/>
          <w:color w:val="535B50"/>
          <w:sz w:val="28"/>
          <w:szCs w:val="28"/>
        </w:rPr>
        <w:t xml:space="preserve">Section 5 — Contraindication and Interaction Considerations</w:t>
      </w:r>
    </w:p>
    <w:p>
      <w:pPr>
        <w:spacing w:after="180" w:before="240"/>
      </w:pPr>
      <w:r>
        <w:rPr>
          <w:rFonts w:ascii="Roboto" w:cs="Roboto" w:eastAsia="Roboto" w:hAnsi="Roboto"/>
          <w:b/>
          <w:bCs/>
          <w:color w:val="535B50"/>
          <w:sz w:val="24"/>
          <w:szCs w:val="24"/>
        </w:rPr>
        <w:t xml:space="preserve">Contraindication flags</w:t>
      </w:r>
    </w:p>
    <w:p>
      <w:pPr>
        <w:spacing w:after="120"/>
      </w:pPr>
      <w:r>
        <w:rPr>
          <w:rFonts w:ascii="Roboto" w:cs="Roboto" w:eastAsia="Roboto" w:hAnsi="Roboto"/>
          <w:b w:val="false"/>
          <w:bCs w:val="false"/>
          <w:color w:val="000000"/>
          <w:sz w:val="22"/>
          <w:szCs w:val="22"/>
        </w:rPr>
        <w:t xml:space="preserve">10 contraindication or interaction consideration(s) raised for practitioner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985"/>
        <w:gridCol w:w="4151"/>
        <w:gridCol w:w="1624"/>
      </w:tblGrid>
      <w:tr>
        <w:trPr>
          <w:tblHeader/>
        </w:trPr>
        <w:tc>
          <w:tcPr>
            <w:tcW w:type="dxa" w:w="1263"/>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Severity</w:t>
            </w:r>
          </w:p>
        </w:tc>
        <w:tc>
          <w:tcPr>
            <w:tcW w:type="dxa" w:w="1985"/>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Flag</w:t>
            </w:r>
          </w:p>
        </w:tc>
        <w:tc>
          <w:tcPr>
            <w:tcW w:type="dxa" w:w="4151"/>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Description</w:t>
            </w:r>
          </w:p>
        </w:tc>
        <w:tc>
          <w:tcPr>
            <w:tcW w:type="dxa" w:w="1624"/>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Affected Ingredient(s)</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informational</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Medication list not provided in submission</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The submission did not list current medications. Standard contraindication checks (5-HTP/serotonergic medications, berberine/glucose-lowering medications, berberine/CYP3A4 and CYP2D6 substrates, magnesium/antibiotics + bisphosphonates, vitamin K/anticoagulants, curcumin/anticoagulants, NAC long-term/trace minerals) are based on the formulation alone. The practitioner should clear the proposed formulation against the patient's actual medication list before dispensing.</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Berberine HCL (Indian Barberry), Magnesium glycinate, Coenzyme Q10, Resveratrol, N-acetyl cysteine (NAC)</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C3AF88"/>
                <w:sz w:val="20"/>
                <w:szCs w:val="20"/>
              </w:rPr>
              <w:t xml:space="preserve">moderate</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Berberine — glucose-lowering medication interaction</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If the patient is on glucose-lowering pharmaceuticals, berberine may have additive effects per published pharmacology. Practitioner to confirm no contraindicating medications before dispensing.</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Berberine HCL (Indian Barberry)</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C3AF88"/>
                <w:sz w:val="20"/>
                <w:szCs w:val="20"/>
              </w:rPr>
              <w:t xml:space="preserve">moderate</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Berberine — CYP3A4/CYP2D6 substrate interaction</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Berberine has documented pharmacokinetic interaction potential with CYP3A4 and CYP2D6 substrates per published literature. Practitioner to assess.</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Berberine HCL (Indian Barberry)</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C3AF88"/>
                <w:sz w:val="20"/>
                <w:szCs w:val="20"/>
              </w:rPr>
              <w:t xml:space="preserve">moderate</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CoQ10 — warfarin</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TGA-listed warning per Library entry: 'Do not take while on warfarin therapy without medical advice.' Practitioner to confirm warfarin status before dispensing.</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Coenzyme Q10</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C3AF88"/>
                <w:sz w:val="20"/>
                <w:szCs w:val="20"/>
              </w:rPr>
              <w:t xml:space="preserve">moderate</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Resveratrol — anticoagulants</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TGA-listed warning per Library entry: 'Resveratrol may affect the way some medicines work, including Warfarin.' Practitioner to confirm anticoagulant status.</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Resveratrol</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monitor</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Zinc — long-term copper ratio</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If zinc supplementation continues &gt;3 months, the practitioner may wish to monitor copper status per the standard contraindication framework. Conservative dose at 15 mg elemental keeps this risk low.</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Zinc citrate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applied</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Licorice / Glycyrrhiza — binding exclusion applied</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Symptom-driven binding exclusion applied due to MODERATE 'high blood pressure' symptom and cardiometabolic burden — ingredient excluded from pod and from standalone recommendations.</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applied</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High-dose iodine — binding exclusion applied</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Symptom-driven binding exclusion applied due to thyroid-related symptom category ≥20% with antibody status unknown on this panel. No iodine included.</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informational</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Mixed androgen symptom signal</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Both Low Androgens (31.11%) and High Androgens (33.33%) symptom categories are activated. Practitioner to correlate with clinical presentation and any serum testosterone/SHBG data; the formulation takes a conservative middle-ground approach (moderate zinc, no saw palmetto, ashwagandha for general androgen-axis support).</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informational</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Cardiometabolic axis driven by symptom data only</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blood_glucose_insulin and parts of mitochondrial_cardiovascular axes are driven by symptom matrix without measured fasting glucose/lipid biomarkers on this panel — practitioner may wish to confirm with standard biomarker testing before extended use.</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Berberine HCL (Indian Barberry)</w:t>
            </w:r>
          </w:p>
        </w:tc>
      </w:tr>
    </w:tbl>
    <w:p>
      <w:pPr>
        <w:spacing w:after="180" w:before="240"/>
      </w:pPr>
      <w:r>
        <w:rPr>
          <w:rFonts w:ascii="Roboto" w:cs="Roboto" w:eastAsia="Roboto" w:hAnsi="Roboto"/>
          <w:b/>
          <w:bCs/>
          <w:color w:val="535B50"/>
          <w:sz w:val="24"/>
          <w:szCs w:val="24"/>
        </w:rPr>
        <w:t xml:space="preserve">Binding exclusions applied</w:t>
      </w:r>
    </w:p>
    <w:p>
      <w:pPr>
        <w:spacing w:after="120"/>
      </w:pPr>
      <w:r>
        <w:rPr>
          <w:rFonts w:ascii="Roboto" w:cs="Roboto" w:eastAsia="Roboto" w:hAnsi="Roboto"/>
          <w:b w:val="false"/>
          <w:bCs w:val="false"/>
          <w:color w:val="000000"/>
          <w:sz w:val="22"/>
          <w:szCs w:val="22"/>
        </w:rPr>
        <w:t xml:space="preserve">2 binding exclusion(s) applied. These are ingredients held out of the pod because the panel does not measure the data needed to confirm safety, or the panel data crossed a hard exclusion threshold.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429"/>
        <w:gridCol w:w="3610"/>
      </w:tblGrid>
      <w:tr>
        <w:trPr>
          <w:tblHeader/>
        </w:trPr>
        <w:tc>
          <w:tcPr>
            <w:tcW w:type="dxa" w:w="1985"/>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Ingredient</w:t>
            </w:r>
          </w:p>
        </w:tc>
        <w:tc>
          <w:tcPr>
            <w:tcW w:type="dxa" w:w="3429"/>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Trigger</w:t>
            </w:r>
          </w:p>
        </w:tc>
        <w:tc>
          <w:tcPr>
            <w:tcW w:type="dxa" w:w="361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Practitioner Note</w:t>
            </w:r>
          </w:p>
        </w:tc>
      </w:tr>
      <w:tr>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000000"/>
                <w:sz w:val="20"/>
                <w:szCs w:val="20"/>
              </w:rPr>
              <w:t xml:space="preserve">—</w:t>
            </w:r>
          </w:p>
        </w:tc>
        <w:tc>
          <w:tcPr>
            <w:tcW w:type="dxa" w:w="3429"/>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c>
          <w:tcPr>
            <w:tcW w:type="dxa" w:w="36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Licorice/Glycyrrhiza has been excluded from the pod per the symptom-driven binding exclusion framework, as glycyrrhizinic acid inhibits 11β-HSD2 and may contribute to cortisol-mediated blood pressure elevation. This exclusion stands regardless of the low cortisol biomarker because BP elevation is the binding concern. The practitioner may revisit this if the patient's blood pressure is well-controlled and the practitioner judges the HPA benefit to outweigh the BP risk.</w:t>
            </w:r>
          </w:p>
        </w:tc>
      </w:tr>
      <w:tr>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000000"/>
                <w:sz w:val="20"/>
                <w:szCs w:val="20"/>
              </w:rPr>
              <w:t xml:space="preserve">—</w:t>
            </w:r>
          </w:p>
        </w:tc>
        <w:tc>
          <w:tcPr>
            <w:tcW w:type="dxa" w:w="3429"/>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c>
          <w:tcPr>
            <w:tcW w:type="dxa" w:w="36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Per the symptom-driven binding exclusion framework, high-dose iodine is excluded when a thyroid symptom category scores ≥20% and antibody status is unknown. No iodine has been included in the pod. The practitioner may consider conservative iodine (≤150 mcg) independently once anti-TPO/anti-Tg antibody status is established.</w:t>
            </w:r>
          </w:p>
        </w:tc>
      </w:tr>
    </w:tbl>
    <w:p>
      <w:pPr>
        <w:pBdr>
          <w:bottom w:val="single" w:color="C3AF88" w:sz="6" w:space="4"/>
        </w:pBdr>
        <w:spacing w:after="180" w:before="360"/>
      </w:pPr>
      <w:r>
        <w:rPr>
          <w:rFonts w:ascii="Roboto" w:cs="Roboto" w:eastAsia="Roboto" w:hAnsi="Roboto"/>
          <w:b/>
          <w:bCs/>
          <w:color w:val="535B50"/>
          <w:sz w:val="28"/>
          <w:szCs w:val="28"/>
        </w:rPr>
        <w:t xml:space="preserve">Section 6 — Monitoring and Follow-Up Considerations</w:t>
      </w:r>
    </w:p>
    <w:p>
      <w:pPr>
        <w:spacing w:after="120"/>
      </w:pPr>
      <w:r>
        <w:rPr>
          <w:rFonts w:ascii="Roboto" w:cs="Roboto" w:eastAsia="Roboto" w:hAnsi="Roboto"/>
          <w:b w:val="false"/>
          <w:bCs w:val="false"/>
          <w:color w:val="000000"/>
          <w:sz w:val="22"/>
          <w:szCs w:val="22"/>
        </w:rPr>
        <w:t xml:space="preserve">A clinical follow-up timeframe is determined by the treating practitioner. Re-testing of priority markers at clinically appropriate intervals may be considered to assess the response of the recognised patterns to the formulation and any lifestyle interventions.</w:t>
      </w:r>
    </w:p>
    <w:p>
      <w:pPr>
        <w:spacing w:after="180" w:before="240"/>
      </w:pPr>
      <w:r>
        <w:rPr>
          <w:rFonts w:ascii="Roboto" w:cs="Roboto" w:eastAsia="Roboto" w:hAnsi="Roboto"/>
          <w:b/>
          <w:bCs/>
          <w:color w:val="535B50"/>
          <w:sz w:val="24"/>
          <w:szCs w:val="24"/>
        </w:rPr>
        <w:t xml:space="preserve">Markers for practitioner consideration at follow-up</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Repeat EndoSCAN to reassess 2-OH/16-OH ratio, 2-MeOH metabolite output, Estrogen Quotient and total urinary cortisol</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Standard cardiometabolic panel (fasting glucose, HbA1c, full lipid profile including lipoprotein subfractions, hsCRP, fasting insulin) — not measured on this panel</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Thyroid function (TSH, FT4, FT3, Reverse T3, anti-TPO, anti-Tg) — relevant to Hypometabolism symptoms and iodine consideration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Serum testosterone, SHBG, free testosterone, oestradiol — to triangulate the mixed androgen symptom picture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Blood pressure log</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Symptom matrix re-administration to track category-score changes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If zinc continued &gt;3 months: serum copper / ceruloplasmin per standard contraindication framework</w:t>
      </w:r>
    </w:p>
    <w:p>
      <w:pPr>
        <w:spacing w:after="120" w:before="240"/>
      </w:pPr>
      <w:r>
        <w:rPr>
          <w:rFonts w:ascii="Roboto" w:cs="Roboto" w:eastAsia="Roboto" w:hAnsi="Roboto"/>
          <w:i/>
          <w:iCs/>
          <w:color w:val="666666"/>
          <w:sz w:val="20"/>
          <w:szCs w:val="20"/>
        </w:rPr>
        <w:t xml:space="preserve">For practitioner consideration</w:t>
      </w:r>
    </w:p>
    <w:p>
      <w:pPr>
        <w:pBdr>
          <w:bottom w:val="single" w:color="C3AF88" w:sz="6" w:space="4"/>
        </w:pBdr>
        <w:spacing w:after="180" w:before="360"/>
      </w:pPr>
      <w:r>
        <w:rPr>
          <w:rFonts w:ascii="Roboto" w:cs="Roboto" w:eastAsia="Roboto" w:hAnsi="Roboto"/>
          <w:b/>
          <w:bCs/>
          <w:color w:val="535B50"/>
          <w:sz w:val="28"/>
          <w:szCs w:val="28"/>
        </w:rPr>
        <w:t xml:space="preserve">Section 7 — Areas of Strength</w:t>
      </w:r>
    </w:p>
    <w:p>
      <w:pPr>
        <w:spacing w:after="120"/>
      </w:pPr>
      <w:r>
        <w:rPr>
          <w:rFonts w:ascii="Roboto" w:cs="Roboto" w:eastAsia="Roboto" w:hAnsi="Roboto"/>
          <w:b w:val="false"/>
          <w:bCs w:val="false"/>
          <w:color w:val="000000"/>
          <w:sz w:val="22"/>
          <w:szCs w:val="22"/>
        </w:rPr>
        <w:t xml:space="preserve">The following 8 finding(s) on this panel are within reference and are surfaced as areas of clinical strength to contextualise the abnormal findings above.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Estradiol, Estrone, Estriol absolute values within reference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DHEA and DHEA-S within reference (DHEA:cortisol relationship preserved)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Testosterone within reference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16-OH Estrone within reference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2-MeOE1/2-OHE1 ratio within reference (COMT efficiency intact)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4-MeOE2/4-OHE2 ratio elevated — consistent with efficient methylation clearance of 4-OH-E2 metabolite per laboratory framework</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All measured endocrine disruptors (BPA, PFAS, PFOA, PFOS) well below upper reference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All measured heavy metals (Al, As, Cd, Cr, Pb, Hg, Ni) below upper reference</w:t>
      </w:r>
    </w:p>
    <w:p>
      <w:pPr>
        <w:pBdr>
          <w:bottom w:val="single" w:color="C3AF88" w:sz="6" w:space="4"/>
        </w:pBdr>
        <w:spacing w:after="180" w:before="360"/>
      </w:pPr>
      <w:r>
        <w:rPr>
          <w:rFonts w:ascii="Roboto" w:cs="Roboto" w:eastAsia="Roboto" w:hAnsi="Roboto"/>
          <w:b/>
          <w:bCs/>
          <w:color w:val="535B50"/>
          <w:sz w:val="28"/>
          <w:szCs w:val="28"/>
        </w:rPr>
        <w:t xml:space="preserve">References</w:t>
      </w:r>
    </w:p>
    <w:p>
      <w:pPr>
        <w:spacing w:after="240"/>
      </w:pPr>
      <w:r>
        <w:rPr>
          <w:rFonts w:ascii="Roboto" w:cs="Roboto" w:eastAsia="Roboto" w:hAnsi="Roboto"/>
          <w:b w:val="false"/>
          <w:bCs w:val="false"/>
          <w:color w:val="000000"/>
          <w:sz w:val="22"/>
          <w:szCs w:val="22"/>
        </w:rPr>
        <w:t xml:space="preserve">Key published studies cited by the clinical decision support system in support of each formulation decision. Citations should be independently verified by the reviewing practitioner before clinical reliance. PMIDs and DOIs can be confirmed via PubMed (pubmed.ncbi.nlm.nih.gov).</w:t>
      </w:r>
    </w:p>
    <w:p>
      <w:pPr>
        <w:spacing w:after="120"/>
      </w:pPr>
      <w:r>
        <w:rPr>
          <w:rFonts w:ascii="Roboto" w:cs="Roboto" w:eastAsia="Roboto" w:hAnsi="Roboto"/>
          <w:b/>
          <w:bCs/>
          <w:color w:val="C3AF88"/>
          <w:sz w:val="22"/>
          <w:szCs w:val="22"/>
        </w:rPr>
        <w:t xml:space="preserve">[1]</w:t>
      </w:r>
      <w:r>
        <w:rPr>
          <w:rFonts w:ascii="Roboto" w:cs="Roboto" w:eastAsia="Roboto" w:hAnsi="Roboto"/>
          <w:color w:val="000000"/>
          <w:sz w:val="22"/>
          <w:szCs w:val="22"/>
        </w:rPr>
        <w:t xml:space="preserve">  Salve J et al. (2019). Adaptogenic and Anxiolytic Effects of Ashwagandha Root Extract in Healthy Adults: A Double-blind, Randomized, Placebo-controlled Clinical Study. Cureus.</w:t>
      </w:r>
      <w:r>
        <w:rPr>
          <w:rFonts w:ascii="Roboto" w:cs="Roboto" w:eastAsia="Roboto" w:hAnsi="Roboto"/>
          <w:i/>
          <w:iCs/>
          <w:color w:val="000000"/>
          <w:sz w:val="18"/>
          <w:szCs w:val="18"/>
        </w:rPr>
        <w:t xml:space="preserve">  (Ashwagandha)</w:t>
      </w:r>
    </w:p>
    <w:p>
      <w:pPr>
        <w:spacing w:after="120"/>
      </w:pPr>
      <w:r>
        <w:rPr>
          <w:rFonts w:ascii="Roboto" w:cs="Roboto" w:eastAsia="Roboto" w:hAnsi="Roboto"/>
          <w:b/>
          <w:bCs/>
          <w:color w:val="C3AF88"/>
          <w:sz w:val="22"/>
          <w:szCs w:val="22"/>
        </w:rPr>
        <w:t xml:space="preserve">[2]</w:t>
      </w:r>
      <w:r>
        <w:rPr>
          <w:rFonts w:ascii="Roboto" w:cs="Roboto" w:eastAsia="Roboto" w:hAnsi="Roboto"/>
          <w:color w:val="000000"/>
          <w:sz w:val="22"/>
          <w:szCs w:val="22"/>
        </w:rPr>
        <w:t xml:space="preserve">  Olsson EM et al. (2009). A randomised, double-blind, placebo-controlled, parallel-group study of the standardised extract SHR-5 of the roots of Rhodiola rosea in the treatment of subjects with stress-related fatigue. Planta Medica.</w:t>
      </w:r>
      <w:r>
        <w:rPr>
          <w:rFonts w:ascii="Roboto" w:cs="Roboto" w:eastAsia="Roboto" w:hAnsi="Roboto"/>
          <w:i/>
          <w:iCs/>
          <w:color w:val="000000"/>
          <w:sz w:val="18"/>
          <w:szCs w:val="18"/>
        </w:rPr>
        <w:t xml:space="preserve">  (Rhodiola rosea (Rose Root))</w:t>
      </w:r>
    </w:p>
    <w:p>
      <w:pPr>
        <w:spacing w:after="120"/>
      </w:pPr>
      <w:r>
        <w:rPr>
          <w:rFonts w:ascii="Roboto" w:cs="Roboto" w:eastAsia="Roboto" w:hAnsi="Roboto"/>
          <w:b/>
          <w:bCs/>
          <w:color w:val="C3AF88"/>
          <w:sz w:val="22"/>
          <w:szCs w:val="22"/>
        </w:rPr>
        <w:t xml:space="preserve">[3]</w:t>
      </w:r>
      <w:r>
        <w:rPr>
          <w:rFonts w:ascii="Roboto" w:cs="Roboto" w:eastAsia="Roboto" w:hAnsi="Roboto"/>
          <w:color w:val="000000"/>
          <w:sz w:val="22"/>
          <w:szCs w:val="22"/>
        </w:rPr>
        <w:t xml:space="preserve">  Scholey A et al. (2010). Effects of American ginseng (Panax quinquefolius) on neurocognitive function: an acute, randomised, double-blind, placebo-controlled, crossover study. Psychopharmacology.</w:t>
      </w:r>
      <w:r>
        <w:rPr>
          <w:rFonts w:ascii="Roboto" w:cs="Roboto" w:eastAsia="Roboto" w:hAnsi="Roboto"/>
          <w:i/>
          <w:iCs/>
          <w:color w:val="000000"/>
          <w:sz w:val="18"/>
          <w:szCs w:val="18"/>
        </w:rPr>
        <w:t xml:space="preserve">  (American ginseng)</w:t>
      </w:r>
    </w:p>
    <w:p>
      <w:pPr>
        <w:spacing w:after="120"/>
      </w:pPr>
      <w:r>
        <w:rPr>
          <w:rFonts w:ascii="Roboto" w:cs="Roboto" w:eastAsia="Roboto" w:hAnsi="Roboto"/>
          <w:b/>
          <w:bCs/>
          <w:color w:val="C3AF88"/>
          <w:sz w:val="22"/>
          <w:szCs w:val="22"/>
        </w:rPr>
        <w:t xml:space="preserve">[4]</w:t>
      </w:r>
      <w:r>
        <w:rPr>
          <w:rFonts w:ascii="Roboto" w:cs="Roboto" w:eastAsia="Roboto" w:hAnsi="Roboto"/>
          <w:color w:val="000000"/>
          <w:sz w:val="22"/>
          <w:szCs w:val="22"/>
        </w:rPr>
        <w:t xml:space="preserve">  Dalessandri KM et al. (2004). Pilot study: effect of 3,3'-diindolylmethane supplements on urinary hormone metabolites in postmenopausal women with a history of early-stage breast cancer. Nutrition and Cancer.</w:t>
      </w:r>
      <w:r>
        <w:rPr>
          <w:rFonts w:ascii="Roboto" w:cs="Roboto" w:eastAsia="Roboto" w:hAnsi="Roboto"/>
          <w:i/>
          <w:iCs/>
          <w:color w:val="000000"/>
          <w:sz w:val="18"/>
          <w:szCs w:val="18"/>
        </w:rPr>
        <w:t xml:space="preserve">  (DIM (3,3'-diindolylmethane))</w:t>
      </w:r>
    </w:p>
    <w:p>
      <w:pPr>
        <w:spacing w:after="120"/>
      </w:pPr>
      <w:r>
        <w:rPr>
          <w:rFonts w:ascii="Roboto" w:cs="Roboto" w:eastAsia="Roboto" w:hAnsi="Roboto"/>
          <w:b/>
          <w:bCs/>
          <w:color w:val="C3AF88"/>
          <w:sz w:val="22"/>
          <w:szCs w:val="22"/>
        </w:rPr>
        <w:t xml:space="preserve">[5]</w:t>
      </w:r>
      <w:r>
        <w:rPr>
          <w:rFonts w:ascii="Roboto" w:cs="Roboto" w:eastAsia="Roboto" w:hAnsi="Roboto"/>
          <w:color w:val="000000"/>
          <w:sz w:val="22"/>
          <w:szCs w:val="22"/>
        </w:rPr>
        <w:t xml:space="preserve">  Heerdt AS et al. (1995). Calcium glucarate as a chemopreventive agent in breast cancer. Israel Journal of Medical Sciences.</w:t>
      </w:r>
      <w:r>
        <w:rPr>
          <w:rFonts w:ascii="Roboto" w:cs="Roboto" w:eastAsia="Roboto" w:hAnsi="Roboto"/>
          <w:i/>
          <w:iCs/>
          <w:color w:val="000000"/>
          <w:sz w:val="18"/>
          <w:szCs w:val="18"/>
        </w:rPr>
        <w:t xml:space="preserve">  (Calcium D-glucarate)</w:t>
      </w:r>
    </w:p>
    <w:p>
      <w:pPr>
        <w:spacing w:after="120"/>
      </w:pPr>
      <w:r>
        <w:rPr>
          <w:rFonts w:ascii="Roboto" w:cs="Roboto" w:eastAsia="Roboto" w:hAnsi="Roboto"/>
          <w:b/>
          <w:bCs/>
          <w:color w:val="C3AF88"/>
          <w:sz w:val="22"/>
          <w:szCs w:val="22"/>
        </w:rPr>
        <w:t xml:space="preserve">[6]</w:t>
      </w:r>
      <w:r>
        <w:rPr>
          <w:rFonts w:ascii="Roboto" w:cs="Roboto" w:eastAsia="Roboto" w:hAnsi="Roboto"/>
          <w:color w:val="000000"/>
          <w:sz w:val="22"/>
          <w:szCs w:val="22"/>
        </w:rPr>
        <w:t xml:space="preserve">  Chow HH et al. (2010). Resveratrol modulates drug- and carcinogen-metabolizing enzymes in a healthy volunteer study. Cancer Prevention Research.</w:t>
      </w:r>
      <w:r>
        <w:rPr>
          <w:rFonts w:ascii="Roboto" w:cs="Roboto" w:eastAsia="Roboto" w:hAnsi="Roboto"/>
          <w:i/>
          <w:iCs/>
          <w:color w:val="000000"/>
          <w:sz w:val="18"/>
          <w:szCs w:val="18"/>
        </w:rPr>
        <w:t xml:space="preserve">  (Resveratrol)</w:t>
      </w:r>
    </w:p>
    <w:p>
      <w:pPr>
        <w:spacing w:after="120"/>
      </w:pPr>
      <w:r>
        <w:rPr>
          <w:rFonts w:ascii="Roboto" w:cs="Roboto" w:eastAsia="Roboto" w:hAnsi="Roboto"/>
          <w:b/>
          <w:bCs/>
          <w:color w:val="C3AF88"/>
          <w:sz w:val="22"/>
          <w:szCs w:val="22"/>
        </w:rPr>
        <w:t xml:space="preserve">[7]</w:t>
      </w:r>
      <w:r>
        <w:rPr>
          <w:rFonts w:ascii="Roboto" w:cs="Roboto" w:eastAsia="Roboto" w:hAnsi="Roboto"/>
          <w:color w:val="000000"/>
          <w:sz w:val="22"/>
          <w:szCs w:val="22"/>
        </w:rPr>
        <w:t xml:space="preserve">  Loguercio C et al. (2012). Silybin combined with phosphatidylcholine and vitamin E in patients with nonalcoholic fatty liver disease: a randomized controlled trial. Free Radical Biology and Medicine.</w:t>
      </w:r>
      <w:r>
        <w:rPr>
          <w:rFonts w:ascii="Roboto" w:cs="Roboto" w:eastAsia="Roboto" w:hAnsi="Roboto"/>
          <w:i/>
          <w:iCs/>
          <w:color w:val="000000"/>
          <w:sz w:val="18"/>
          <w:szCs w:val="18"/>
        </w:rPr>
        <w:t xml:space="preserve">  (Milk thistle)</w:t>
      </w:r>
    </w:p>
    <w:p>
      <w:pPr>
        <w:spacing w:after="120"/>
      </w:pPr>
      <w:r>
        <w:rPr>
          <w:rFonts w:ascii="Roboto" w:cs="Roboto" w:eastAsia="Roboto" w:hAnsi="Roboto"/>
          <w:b/>
          <w:bCs/>
          <w:color w:val="C3AF88"/>
          <w:sz w:val="22"/>
          <w:szCs w:val="22"/>
        </w:rPr>
        <w:t xml:space="preserve">[8]</w:t>
      </w:r>
      <w:r>
        <w:rPr>
          <w:rFonts w:ascii="Roboto" w:cs="Roboto" w:eastAsia="Roboto" w:hAnsi="Roboto"/>
          <w:color w:val="000000"/>
          <w:sz w:val="22"/>
          <w:szCs w:val="22"/>
        </w:rPr>
        <w:t xml:space="preserve">  Šalamon Š et al. (2019). Medical and Dietary Uses of N-Acetylcysteine. Antioxidants.</w:t>
      </w:r>
      <w:r>
        <w:rPr>
          <w:rFonts w:ascii="Roboto" w:cs="Roboto" w:eastAsia="Roboto" w:hAnsi="Roboto"/>
          <w:i/>
          <w:iCs/>
          <w:color w:val="000000"/>
          <w:sz w:val="18"/>
          <w:szCs w:val="18"/>
        </w:rPr>
        <w:t xml:space="preserve">  (N-acetyl cysteine (NAC))</w:t>
      </w:r>
    </w:p>
    <w:p>
      <w:pPr>
        <w:spacing w:after="120"/>
      </w:pPr>
      <w:r>
        <w:rPr>
          <w:rFonts w:ascii="Roboto" w:cs="Roboto" w:eastAsia="Roboto" w:hAnsi="Roboto"/>
          <w:b/>
          <w:bCs/>
          <w:color w:val="C3AF88"/>
          <w:sz w:val="22"/>
          <w:szCs w:val="22"/>
        </w:rPr>
        <w:t xml:space="preserve">[9]</w:t>
      </w:r>
      <w:r>
        <w:rPr>
          <w:rFonts w:ascii="Roboto" w:cs="Roboto" w:eastAsia="Roboto" w:hAnsi="Roboto"/>
          <w:color w:val="000000"/>
          <w:sz w:val="22"/>
          <w:szCs w:val="22"/>
        </w:rPr>
        <w:t xml:space="preserve">  Serban MC et al. (2016). Effects of Quercetin on Blood Pressure: A Systematic Review and Meta-Analysis of Randomized Controlled Trials. Journal of the American Heart Association.</w:t>
      </w:r>
      <w:r>
        <w:rPr>
          <w:rFonts w:ascii="Roboto" w:cs="Roboto" w:eastAsia="Roboto" w:hAnsi="Roboto"/>
          <w:i/>
          <w:iCs/>
          <w:color w:val="000000"/>
          <w:sz w:val="18"/>
          <w:szCs w:val="18"/>
        </w:rPr>
        <w:t xml:space="preserve">  (Quercetin)</w:t>
      </w:r>
    </w:p>
    <w:p>
      <w:pPr>
        <w:spacing w:after="120"/>
      </w:pPr>
      <w:r>
        <w:rPr>
          <w:rFonts w:ascii="Roboto" w:cs="Roboto" w:eastAsia="Roboto" w:hAnsi="Roboto"/>
          <w:b/>
          <w:bCs/>
          <w:color w:val="C3AF88"/>
          <w:sz w:val="22"/>
          <w:szCs w:val="22"/>
        </w:rPr>
        <w:t xml:space="preserve">[10]</w:t>
      </w:r>
      <w:r>
        <w:rPr>
          <w:rFonts w:ascii="Roboto" w:cs="Roboto" w:eastAsia="Roboto" w:hAnsi="Roboto"/>
          <w:color w:val="000000"/>
          <w:sz w:val="22"/>
          <w:szCs w:val="22"/>
        </w:rPr>
        <w:t xml:space="preserve">  Xu X et al. (2007). A functional polymorphism of COMT and plasma homocysteine, B-vitamins, and breast cancer risk. Cancer Epidemiology, Biomarkers &amp; Prevention.</w:t>
      </w:r>
      <w:r>
        <w:rPr>
          <w:rFonts w:ascii="Roboto" w:cs="Roboto" w:eastAsia="Roboto" w:hAnsi="Roboto"/>
          <w:i/>
          <w:iCs/>
          <w:color w:val="000000"/>
          <w:sz w:val="18"/>
          <w:szCs w:val="18"/>
        </w:rPr>
        <w:t xml:space="preserve">  (Methylcobalamin (Vitamin B12))</w:t>
      </w:r>
    </w:p>
    <w:p>
      <w:pPr>
        <w:spacing w:after="120"/>
      </w:pPr>
      <w:r>
        <w:rPr>
          <w:rFonts w:ascii="Roboto" w:cs="Roboto" w:eastAsia="Roboto" w:hAnsi="Roboto"/>
          <w:b/>
          <w:bCs/>
          <w:color w:val="C3AF88"/>
          <w:sz w:val="22"/>
          <w:szCs w:val="22"/>
        </w:rPr>
        <w:t xml:space="preserve">[11]</w:t>
      </w:r>
      <w:r>
        <w:rPr>
          <w:rFonts w:ascii="Roboto" w:cs="Roboto" w:eastAsia="Roboto" w:hAnsi="Roboto"/>
          <w:color w:val="000000"/>
          <w:sz w:val="22"/>
          <w:szCs w:val="22"/>
        </w:rPr>
        <w:t xml:space="preserve">  Stover PJ (2004). Physiology of folate and vitamin B12 in health and disease. Nutrition Reviews.</w:t>
      </w:r>
      <w:r>
        <w:rPr>
          <w:rFonts w:ascii="Roboto" w:cs="Roboto" w:eastAsia="Roboto" w:hAnsi="Roboto"/>
          <w:i/>
          <w:iCs/>
          <w:color w:val="000000"/>
          <w:sz w:val="18"/>
          <w:szCs w:val="18"/>
        </w:rPr>
        <w:t xml:space="preserve">  (Calcium folinate (Folinic acid))</w:t>
      </w:r>
    </w:p>
    <w:p>
      <w:pPr>
        <w:spacing w:after="120"/>
      </w:pPr>
      <w:r>
        <w:rPr>
          <w:rFonts w:ascii="Roboto" w:cs="Roboto" w:eastAsia="Roboto" w:hAnsi="Roboto"/>
          <w:b/>
          <w:bCs/>
          <w:color w:val="C3AF88"/>
          <w:sz w:val="22"/>
          <w:szCs w:val="22"/>
        </w:rPr>
        <w:t xml:space="preserve">[12]</w:t>
      </w:r>
      <w:r>
        <w:rPr>
          <w:rFonts w:ascii="Roboto" w:cs="Roboto" w:eastAsia="Roboto" w:hAnsi="Roboto"/>
          <w:color w:val="000000"/>
          <w:sz w:val="22"/>
          <w:szCs w:val="22"/>
        </w:rPr>
        <w:t xml:space="preserve">  Wu XY et al. (2013). Low plasma vitamin B-6 status is associated with increased risk of breast cancer: implications for one-carbon metabolism and estrogen methylation. American Journal of Clinical Nutrition.</w:t>
      </w:r>
      <w:r>
        <w:rPr>
          <w:rFonts w:ascii="Roboto" w:cs="Roboto" w:eastAsia="Roboto" w:hAnsi="Roboto"/>
          <w:i/>
          <w:iCs/>
          <w:color w:val="000000"/>
          <w:sz w:val="18"/>
          <w:szCs w:val="18"/>
        </w:rPr>
        <w:t xml:space="preserve">  (Pyridoxal-5-phosphate (P5P / Vitamin B6))</w:t>
      </w:r>
    </w:p>
    <w:p>
      <w:pPr>
        <w:spacing w:after="120"/>
      </w:pPr>
      <w:r>
        <w:rPr>
          <w:rFonts w:ascii="Roboto" w:cs="Roboto" w:eastAsia="Roboto" w:hAnsi="Roboto"/>
          <w:b/>
          <w:bCs/>
          <w:color w:val="C3AF88"/>
          <w:sz w:val="22"/>
          <w:szCs w:val="22"/>
        </w:rPr>
        <w:t xml:space="preserve">[13]</w:t>
      </w:r>
      <w:r>
        <w:rPr>
          <w:rFonts w:ascii="Roboto" w:cs="Roboto" w:eastAsia="Roboto" w:hAnsi="Roboto"/>
          <w:color w:val="000000"/>
          <w:sz w:val="22"/>
          <w:szCs w:val="22"/>
        </w:rPr>
        <w:t xml:space="preserve">  Jaroenporn S et al. (2008). Effects of pantothenic acid supplementation on adrenal steroid secretion from male rats. Biological &amp; Pharmaceutical Bulletin.</w:t>
      </w:r>
      <w:r>
        <w:rPr>
          <w:rFonts w:ascii="Roboto" w:cs="Roboto" w:eastAsia="Roboto" w:hAnsi="Roboto"/>
          <w:i/>
          <w:iCs/>
          <w:color w:val="000000"/>
          <w:sz w:val="18"/>
          <w:szCs w:val="18"/>
        </w:rPr>
        <w:t xml:space="preserve">  (Pantothenic acid (Vitamin B5))</w:t>
      </w:r>
    </w:p>
    <w:p>
      <w:pPr>
        <w:spacing w:after="120"/>
      </w:pPr>
      <w:r>
        <w:rPr>
          <w:rFonts w:ascii="Roboto" w:cs="Roboto" w:eastAsia="Roboto" w:hAnsi="Roboto"/>
          <w:b/>
          <w:bCs/>
          <w:color w:val="C3AF88"/>
          <w:sz w:val="22"/>
          <w:szCs w:val="22"/>
        </w:rPr>
        <w:t xml:space="preserve">[14]</w:t>
      </w:r>
      <w:r>
        <w:rPr>
          <w:rFonts w:ascii="Roboto" w:cs="Roboto" w:eastAsia="Roboto" w:hAnsi="Roboto"/>
          <w:color w:val="000000"/>
          <w:sz w:val="22"/>
          <w:szCs w:val="22"/>
        </w:rPr>
        <w:t xml:space="preserve">  Abbasi B et al. (2012). The effect of magnesium supplementation on primary insomnia in elderly: A double-blind placebo-controlled clinical trial. Journal of Research in Medical Sciences.</w:t>
      </w:r>
      <w:r>
        <w:rPr>
          <w:rFonts w:ascii="Roboto" w:cs="Roboto" w:eastAsia="Roboto" w:hAnsi="Roboto"/>
          <w:i/>
          <w:iCs/>
          <w:color w:val="000000"/>
          <w:sz w:val="18"/>
          <w:szCs w:val="18"/>
        </w:rPr>
        <w:t xml:space="preserve">  (Magnesium glycinate)</w:t>
      </w:r>
    </w:p>
    <w:p>
      <w:pPr>
        <w:spacing w:after="120"/>
      </w:pPr>
      <w:r>
        <w:rPr>
          <w:rFonts w:ascii="Roboto" w:cs="Roboto" w:eastAsia="Roboto" w:hAnsi="Roboto"/>
          <w:b/>
          <w:bCs/>
          <w:color w:val="C3AF88"/>
          <w:sz w:val="22"/>
          <w:szCs w:val="22"/>
        </w:rPr>
        <w:t xml:space="preserve">[15]</w:t>
      </w:r>
      <w:r>
        <w:rPr>
          <w:rFonts w:ascii="Roboto" w:cs="Roboto" w:eastAsia="Roboto" w:hAnsi="Roboto"/>
          <w:color w:val="000000"/>
          <w:sz w:val="22"/>
          <w:szCs w:val="22"/>
        </w:rPr>
        <w:t xml:space="preserve">  Prasad AS et al. (1996). Zinc status and serum testosterone levels of healthy adults. Nutrition.</w:t>
      </w:r>
      <w:r>
        <w:rPr>
          <w:rFonts w:ascii="Roboto" w:cs="Roboto" w:eastAsia="Roboto" w:hAnsi="Roboto"/>
          <w:i/>
          <w:iCs/>
          <w:color w:val="000000"/>
          <w:sz w:val="18"/>
          <w:szCs w:val="18"/>
        </w:rPr>
        <w:t xml:space="preserve">  (Zinc citrate)</w:t>
      </w:r>
    </w:p>
    <w:p>
      <w:pPr>
        <w:spacing w:after="120"/>
      </w:pPr>
      <w:r>
        <w:rPr>
          <w:rFonts w:ascii="Roboto" w:cs="Roboto" w:eastAsia="Roboto" w:hAnsi="Roboto"/>
          <w:b/>
          <w:bCs/>
          <w:color w:val="C3AF88"/>
          <w:sz w:val="22"/>
          <w:szCs w:val="22"/>
        </w:rPr>
        <w:t xml:space="preserve">[16]</w:t>
      </w:r>
      <w:r>
        <w:rPr>
          <w:rFonts w:ascii="Roboto" w:cs="Roboto" w:eastAsia="Roboto" w:hAnsi="Roboto"/>
          <w:color w:val="000000"/>
          <w:sz w:val="22"/>
          <w:szCs w:val="22"/>
        </w:rPr>
        <w:t xml:space="preserve">  Rosenfeldt FL et al. (2007). Coenzyme Q10 in the treatment of hypertension: a meta-analysis of the clinical trials. Journal of Human Hypertension.</w:t>
      </w:r>
      <w:r>
        <w:rPr>
          <w:rFonts w:ascii="Roboto" w:cs="Roboto" w:eastAsia="Roboto" w:hAnsi="Roboto"/>
          <w:i/>
          <w:iCs/>
          <w:color w:val="000000"/>
          <w:sz w:val="18"/>
          <w:szCs w:val="18"/>
        </w:rPr>
        <w:t xml:space="preserve">  (Coenzyme Q10)</w:t>
      </w:r>
    </w:p>
    <w:p>
      <w:pPr>
        <w:spacing w:after="120"/>
      </w:pPr>
      <w:r>
        <w:rPr>
          <w:rFonts w:ascii="Roboto" w:cs="Roboto" w:eastAsia="Roboto" w:hAnsi="Roboto"/>
          <w:b/>
          <w:bCs/>
          <w:color w:val="C3AF88"/>
          <w:sz w:val="22"/>
          <w:szCs w:val="22"/>
        </w:rPr>
        <w:t xml:space="preserve">[17]</w:t>
      </w:r>
      <w:r>
        <w:rPr>
          <w:rFonts w:ascii="Roboto" w:cs="Roboto" w:eastAsia="Roboto" w:hAnsi="Roboto"/>
          <w:color w:val="000000"/>
          <w:sz w:val="22"/>
          <w:szCs w:val="22"/>
        </w:rPr>
        <w:t xml:space="preserve">  Yin J et al. (2008). Efficacy of berberine in patients with type 2 diabetes mellitus. Metabolism.</w:t>
      </w:r>
      <w:r>
        <w:rPr>
          <w:rFonts w:ascii="Roboto" w:cs="Roboto" w:eastAsia="Roboto" w:hAnsi="Roboto"/>
          <w:i/>
          <w:iCs/>
          <w:color w:val="000000"/>
          <w:sz w:val="18"/>
          <w:szCs w:val="18"/>
        </w:rPr>
        <w:t xml:space="preserve">  (Berberine HCL)</w:t>
      </w:r>
    </w:p>
    <w:p>
      <w:pPr>
        <w:spacing w:after="120"/>
      </w:pPr>
      <w:r>
        <w:rPr>
          <w:rFonts w:ascii="Roboto" w:cs="Roboto" w:eastAsia="Roboto" w:hAnsi="Roboto"/>
          <w:b/>
          <w:bCs/>
          <w:color w:val="C3AF88"/>
          <w:sz w:val="22"/>
          <w:szCs w:val="22"/>
        </w:rPr>
        <w:t xml:space="preserve">[18]</w:t>
      </w:r>
      <w:r>
        <w:rPr>
          <w:rFonts w:ascii="Roboto" w:cs="Roboto" w:eastAsia="Roboto" w:hAnsi="Roboto"/>
          <w:color w:val="000000"/>
          <w:sz w:val="22"/>
          <w:szCs w:val="22"/>
        </w:rPr>
        <w:t xml:space="preserve">  Peters EM et al. (2001). Vitamin C supplementation attenuates the increases in circulating cortisol, adrenaline and anti-inflammatory polypeptides following ultramarathon running. International Journal of Sports Medicine.</w:t>
      </w:r>
      <w:r>
        <w:rPr>
          <w:rFonts w:ascii="Roboto" w:cs="Roboto" w:eastAsia="Roboto" w:hAnsi="Roboto"/>
          <w:i/>
          <w:iCs/>
          <w:color w:val="000000"/>
          <w:sz w:val="18"/>
          <w:szCs w:val="18"/>
        </w:rPr>
        <w:t xml:space="preserve">  (Vitamin C (Ascorbic acid))</w:t>
      </w:r>
    </w:p>
    <w:p>
      <w:pPr>
        <w:pBdr>
          <w:top w:val="single" w:color="C3AF88" w:sz="6" w:space="4"/>
        </w:pBdr>
        <w:spacing w:after="120" w:before="360"/>
      </w:pPr>
      <w:r>
        <w:rPr>
          <w:rFonts w:ascii="Roboto" w:cs="Roboto" w:eastAsia="Roboto" w:hAnsi="Roboto"/>
          <w:b/>
          <w:bCs/>
          <w:i/>
          <w:iCs/>
          <w:color w:val="000000"/>
          <w:sz w:val="18"/>
          <w:szCs w:val="18"/>
        </w:rPr>
        <w:t xml:space="preserve">Patients should not act on the contents of this document without the direct guidance of their treating practitioner.</w:t>
      </w:r>
    </w:p>
    <w:p>
      <w:pPr>
        <w:spacing w:after="60"/>
      </w:pPr>
      <w:r>
        <w:rPr>
          <w:rFonts w:ascii="Roboto" w:cs="Roboto" w:eastAsia="Roboto" w:hAnsi="Roboto"/>
          <w:i/>
          <w:iCs/>
          <w:color w:val="666666"/>
          <w:sz w:val="18"/>
          <w:szCs w:val="18"/>
        </w:rPr>
        <w:t xml:space="preserve">Submission: SUB-2026-004  •  Generated: 31 May 2026, 11:11 am</w:t>
      </w:r>
    </w:p>
    <w:p>
      <w:pPr>
        <w:spacing w:after="60"/>
      </w:pPr>
      <w:r>
        <w:rPr>
          <w:rFonts w:ascii="Roboto" w:cs="Roboto" w:eastAsia="Roboto" w:hAnsi="Roboto"/>
          <w:i/>
          <w:iCs/>
          <w:color w:val="666666"/>
          <w:sz w:val="18"/>
          <w:szCs w:val="18"/>
        </w:rPr>
        <w:t xml:space="preserve">Audit Reference: 5965-E670-C712</w:t>
      </w:r>
    </w:p>
    <w:sectPr>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Roboto" w:cs="Roboto" w:eastAsia="Roboto" w:hAnsi="Roboto"/>
        <w:color w:val="666666"/>
        <w:sz w:val="16"/>
        <w:szCs w:val="16"/>
      </w:rPr>
      <w:t xml:space="preserve">N of 1 Precision Formulation  |  SUB-2026-004  |  DRAFT — Page </w:t>
    </w:r>
    <w:r>
      <w:rPr>
        <w:rFonts w:ascii="Roboto" w:cs="Roboto" w:eastAsia="Roboto" w:hAnsi="Roboto"/>
        <w:color w:val="666666"/>
        <w:sz w:val="16"/>
        <w:szCs w:val="16"/>
      </w:rPr>
      <w:fldChar w:fldCharType="begin"/>
      <w:instrText xml:space="preserve">PAGE</w:instrText>
      <w:fldChar w:fldCharType="separate"/>
      <w:fldChar w:fldCharType="end"/>
    </w:r>
    <w:r>
      <w:rPr>
        <w:rFonts w:ascii="Roboto" w:cs="Roboto" w:eastAsia="Roboto" w:hAnsi="Roboto"/>
        <w:color w:val="666666"/>
        <w:sz w:val="16"/>
        <w:szCs w:val="16"/>
      </w:rPr>
      <w:t xml:space="preserve"> of </w:t>
    </w:r>
    <w:r>
      <w:rPr>
        <w:rFonts w:ascii="Roboto" w:cs="Roboto" w:eastAsia="Roboto" w:hAnsi="Roboto"/>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2a66d48eaf0c05f3b2f313fea30ee617ddf5b3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2026-05-31T01:20:03.670Z</dcterms:created>
  <dcterms:modified xsi:type="dcterms:W3CDTF">2026-05-31T01:20:03.670Z</dcterms:modified>
</cp:coreProperties>
</file>

<file path=docProps/custom.xml><?xml version="1.0" encoding="utf-8"?>
<Properties xmlns="http://schemas.openxmlformats.org/officeDocument/2006/custom-properties" xmlns:vt="http://schemas.openxmlformats.org/officeDocument/2006/docPropsVTypes"/>
</file>