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drawing>
          <wp:inline distT="0" distB="0" distL="0" distR="0">
            <wp:extent cx="51435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962025"/>
                    </a:xfrm>
                    <a:prstGeom prst="rect">
                      <a:avLst/>
                    </a:prstGeom>
                  </pic:spPr>
                </pic:pic>
              </a:graphicData>
            </a:graphic>
          </wp:inline>
        </w:drawing>
      </w:r>
    </w:p>
    <w:p>
      <w:pPr>
        <w:spacing w:after="60"/>
      </w:pPr>
      <w:r>
        <w:rPr>
          <w:rFonts w:ascii="Roboto" w:cs="Roboto" w:eastAsia="Roboto" w:hAnsi="Roboto"/>
          <w:b/>
          <w:bCs/>
          <w:color w:val="535B50"/>
          <w:sz w:val="36"/>
          <w:szCs w:val="36"/>
        </w:rPr>
        <w:t xml:space="preserve">Health Analysis</w:t>
      </w:r>
    </w:p>
    <w:p>
      <w:pPr>
        <w:spacing w:after="240"/>
      </w:pPr>
      <w:r>
        <w:rPr>
          <w:rFonts w:ascii="Roboto" w:cs="Roboto" w:eastAsia="Roboto" w:hAnsi="Roboto"/>
          <w:i/>
          <w:iCs/>
          <w:color w:val="666666"/>
          <w:sz w:val="22"/>
          <w:szCs w:val="22"/>
        </w:rPr>
        <w:t xml:space="preserve">N of 1 Precision Formulation  •  Practitioner Decision Support</w:t>
      </w:r>
    </w:p>
    <w:p>
      <w:pPr>
        <w:pBdr>
          <w:top w:val="single" w:color="8B2A2A" w:sz="6" w:space="2"/>
          <w:bottom w:val="single" w:color="8B2A2A" w:sz="6" w:space="2"/>
        </w:pBdr>
        <w:spacing w:after="240" w:before="120"/>
        <w:jc w:val="center"/>
      </w:pPr>
      <w:r>
        <w:rPr>
          <w:rFonts w:ascii="Roboto" w:cs="Roboto" w:eastAsia="Roboto" w:hAnsi="Roboto"/>
          <w:b/>
          <w:bCs/>
          <w:color w:val="8B2A2A"/>
          <w:sz w:val="22"/>
          <w:szCs w:val="22"/>
        </w:rPr>
        <w:t xml:space="preserve">DRAFT — PENDING PRACTITIONER REVIEW AND APPROVAL</w:t>
      </w:r>
    </w:p>
    <w:p>
      <w:pPr>
        <w:spacing w:after="240"/>
      </w:pPr>
      <w:r>
        <w:rPr>
          <w:rFonts w:ascii="Roboto" w:cs="Roboto" w:eastAsia="Roboto" w:hAnsi="Roboto"/>
          <w:i/>
          <w:iCs/>
          <w:color w:val="000000"/>
          <w:sz w:val="18"/>
          <w:szCs w:val="18"/>
        </w:rPr>
        <w:t xml:space="preserve">This document is decision support for a qualified healthcare practitioner. It is not a diagnosis, not a prescription, and not directed to the patient. The reviewing practitioner is the prescribing clinician of record and exercises independent clinical judgement on every recommendation contained herein.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700"/>
        <w:gridCol w:w="1900"/>
      </w:tblGrid>
      <w:tr>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Patient Pseudonym</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PT-2026-003</w:t>
            </w:r>
          </w:p>
        </w:tc>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Age</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56</w:t>
            </w:r>
          </w:p>
        </w:tc>
      </w:tr>
      <w:tr>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Sex (at birth)</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female</w:t>
            </w:r>
          </w:p>
        </w:tc>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Test Type</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Organic_Acids</w:t>
            </w:r>
          </w:p>
        </w:tc>
      </w:tr>
      <w:tr>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Lab ID</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202605130722271AF966</w:t>
            </w:r>
          </w:p>
        </w:tc>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Collection Date</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2026-04-02</w:t>
            </w:r>
          </w:p>
        </w:tc>
      </w:tr>
      <w:tr>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Practitioner ID</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P001-NATUROPATH</w:t>
            </w:r>
          </w:p>
        </w:tc>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Practitioner Type</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naturopath</w:t>
            </w:r>
          </w:p>
        </w:tc>
      </w:tr>
      <w:tr>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Submission ID</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SUB-2026-NS-001</w:t>
            </w:r>
          </w:p>
        </w:tc>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Generated</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12 Aug 2026, 4:16 pm</w:t>
            </w:r>
          </w:p>
        </w:tc>
      </w:tr>
    </w:tbl>
    <w:p>
      <w:r>
        <w:t xml:space="preserve"/>
      </w:r>
    </w:p>
    <w:p>
      <w:pPr>
        <w:pBdr>
          <w:bottom w:val="single" w:color="C3AF88" w:sz="6" w:space="4"/>
        </w:pBdr>
        <w:spacing w:after="180" w:before="360"/>
      </w:pPr>
      <w:r>
        <w:rPr>
          <w:rFonts w:ascii="Roboto" w:cs="Roboto" w:eastAsia="Roboto" w:hAnsi="Roboto"/>
          <w:b/>
          <w:bCs/>
          <w:color w:val="535B50"/>
          <w:sz w:val="28"/>
          <w:szCs w:val="28"/>
        </w:rPr>
        <w:t xml:space="preserve">Section 1 — Executive Summary</w:t>
      </w:r>
    </w:p>
    <w:p>
      <w:pPr>
        <w:spacing w:after="240"/>
      </w:pPr>
      <w:r>
        <w:rPr>
          <w:rFonts w:ascii="Roboto" w:cs="Roboto" w:eastAsia="Roboto" w:hAnsi="Roboto"/>
          <w:b w:val="false"/>
          <w:bCs w:val="false"/>
          <w:color w:val="000000"/>
          <w:sz w:val="22"/>
          <w:szCs w:val="22"/>
        </w:rPr>
        <w:t xml:space="preserve">NutriSTAT panel showing an inflammatory-metabolic pattern (elevated hsCRP, elevated VLDL) with a thyroid-conversion-impaired pattern (low FT3:RT3 ratio) and mild-moderate toxicant burden (aluminium, lead detected; elevated Cu:Zn ratio at upper reference).</w:t>
      </w:r>
    </w:p>
    <w:p>
      <w:pPr>
        <w:spacing w:after="180" w:before="240"/>
      </w:pPr>
      <w:r>
        <w:rPr>
          <w:rFonts w:ascii="Roboto" w:cs="Roboto" w:eastAsia="Roboto" w:hAnsi="Roboto"/>
          <w:b/>
          <w:bCs/>
          <w:color w:val="535B50"/>
          <w:sz w:val="24"/>
          <w:szCs w:val="24"/>
        </w:rPr>
        <w:t xml:space="preserve">Recognised clinical patterns</w:t>
      </w:r>
    </w:p>
    <w:p>
      <w:pPr>
        <w:spacing w:after="60"/>
      </w:pPr>
      <w:r>
        <w:rPr>
          <w:rFonts w:ascii="Roboto" w:cs="Roboto" w:eastAsia="Roboto" w:hAnsi="Roboto"/>
          <w:b/>
          <w:bCs/>
          <w:color w:val="C3AF88"/>
          <w:sz w:val="22"/>
          <w:szCs w:val="22"/>
        </w:rPr>
        <w:t xml:space="preserve">• </w:t>
      </w:r>
      <w:r>
        <w:rPr>
          <w:rFonts w:ascii="Roboto" w:cs="Roboto" w:eastAsia="Roboto" w:hAnsi="Roboto"/>
          <w:b/>
          <w:bCs/>
          <w:color w:val="000000"/>
          <w:sz w:val="22"/>
          <w:szCs w:val="22"/>
        </w:rPr>
        <w:t xml:space="preserve">Inflammatory-metabolic</w:t>
      </w:r>
    </w:p>
    <w:p>
      <w:pPr>
        <w:spacing w:after="120"/>
        <w:ind w:left="360"/>
      </w:pPr>
      <w:r>
        <w:rPr>
          <w:rFonts w:ascii="Roboto" w:cs="Roboto" w:eastAsia="Roboto" w:hAnsi="Roboto"/>
          <w:color w:val="666666"/>
          <w:sz w:val="20"/>
          <w:szCs w:val="20"/>
        </w:rPr>
        <w:t xml:space="preserve">Supporting findings: hsCRP 6.88 mg/L (elevated), VLDL 0.7 mmol/L (mildly elevated), Fibrinogen 4.5 g/L (upper reference), Fasting glucose 5.4 mmol/L (upper reference)</w:t>
      </w:r>
    </w:p>
    <w:p>
      <w:pPr>
        <w:spacing w:after="60"/>
      </w:pPr>
      <w:r>
        <w:rPr>
          <w:rFonts w:ascii="Roboto" w:cs="Roboto" w:eastAsia="Roboto" w:hAnsi="Roboto"/>
          <w:b/>
          <w:bCs/>
          <w:color w:val="C3AF88"/>
          <w:sz w:val="22"/>
          <w:szCs w:val="22"/>
        </w:rPr>
        <w:t xml:space="preserve">• </w:t>
      </w:r>
      <w:r>
        <w:rPr>
          <w:rFonts w:ascii="Roboto" w:cs="Roboto" w:eastAsia="Roboto" w:hAnsi="Roboto"/>
          <w:b/>
          <w:bCs/>
          <w:color w:val="000000"/>
          <w:sz w:val="22"/>
          <w:szCs w:val="22"/>
        </w:rPr>
        <w:t xml:space="preserve">Thyroid-conversion-impaired</w:t>
      </w:r>
    </w:p>
    <w:p>
      <w:pPr>
        <w:spacing w:after="120"/>
        <w:ind w:left="360"/>
      </w:pPr>
      <w:r>
        <w:rPr>
          <w:rFonts w:ascii="Roboto" w:cs="Roboto" w:eastAsia="Roboto" w:hAnsi="Roboto"/>
          <w:color w:val="666666"/>
          <w:sz w:val="20"/>
          <w:szCs w:val="20"/>
        </w:rPr>
        <w:t xml:space="preserve">Supporting findings: FT3:Reverse T3 ratio 0.787 (below reference), Reverse T3 449.6 pmol/L (upper reference), FT3 3.5 pmol/L (low-normal), Thyroid antibodies negative (TPO 9.0, Tg 16.3, TRAb 0.8)</w:t>
      </w:r>
    </w:p>
    <w:p>
      <w:pPr>
        <w:spacing w:after="60"/>
      </w:pPr>
      <w:r>
        <w:rPr>
          <w:rFonts w:ascii="Roboto" w:cs="Roboto" w:eastAsia="Roboto" w:hAnsi="Roboto"/>
          <w:b/>
          <w:bCs/>
          <w:color w:val="C3AF88"/>
          <w:sz w:val="22"/>
          <w:szCs w:val="22"/>
        </w:rPr>
        <w:t xml:space="preserve">• </w:t>
      </w:r>
      <w:r>
        <w:rPr>
          <w:rFonts w:ascii="Roboto" w:cs="Roboto" w:eastAsia="Roboto" w:hAnsi="Roboto"/>
          <w:b/>
          <w:bCs/>
          <w:color w:val="000000"/>
          <w:sz w:val="22"/>
          <w:szCs w:val="22"/>
        </w:rPr>
        <w:t xml:space="preserve">Toxicant-burdened (mild)</w:t>
      </w:r>
    </w:p>
    <w:p>
      <w:pPr>
        <w:spacing w:after="120"/>
        <w:ind w:left="360"/>
      </w:pPr>
      <w:r>
        <w:rPr>
          <w:rFonts w:ascii="Roboto" w:cs="Roboto" w:eastAsia="Roboto" w:hAnsi="Roboto"/>
          <w:color w:val="666666"/>
          <w:sz w:val="20"/>
          <w:szCs w:val="20"/>
        </w:rPr>
        <w:t xml:space="preserve">Supporting findings: Blood aluminium 28.13 µg/L (upper reference), Blood lead 14.05 µg/L (detectable within reference), Cu:Zn ratio 1.50 (upper reference), Plasma zinc 9.9 µmol/L (lower portion of reference), NAC organic acid 0.02 mmol/molCr (at lower reference)</w:t>
      </w:r>
    </w:p>
    <w:p>
      <w:pPr>
        <w:spacing w:after="60"/>
      </w:pPr>
      <w:r>
        <w:rPr>
          <w:rFonts w:ascii="Roboto" w:cs="Roboto" w:eastAsia="Roboto" w:hAnsi="Roboto"/>
          <w:b/>
          <w:bCs/>
          <w:color w:val="C3AF88"/>
          <w:sz w:val="22"/>
          <w:szCs w:val="22"/>
        </w:rPr>
        <w:t xml:space="preserve">• </w:t>
      </w:r>
      <w:r>
        <w:rPr>
          <w:rFonts w:ascii="Roboto" w:cs="Roboto" w:eastAsia="Roboto" w:hAnsi="Roboto"/>
          <w:b/>
          <w:bCs/>
          <w:color w:val="000000"/>
          <w:sz w:val="22"/>
          <w:szCs w:val="22"/>
        </w:rPr>
        <w:t xml:space="preserve">Mitochondrial/citric-acid-cycle sluggish</w:t>
      </w:r>
    </w:p>
    <w:p>
      <w:pPr>
        <w:spacing w:after="120"/>
        <w:ind w:left="360"/>
      </w:pPr>
      <w:r>
        <w:rPr>
          <w:rFonts w:ascii="Roboto" w:cs="Roboto" w:eastAsia="Roboto" w:hAnsi="Roboto"/>
          <w:color w:val="666666"/>
          <w:sz w:val="20"/>
          <w:szCs w:val="20"/>
        </w:rPr>
        <w:t xml:space="preserve">Supporting findings: Citric acid 45.7 (lower reference), Isocitric acid 6.21 (lower reference), α-Ketoglutaric acid 4.78 (lower reference), Succinic acid 1.12 (lower reference), CoQ10 flagged at 90 mg on nutritional guide</w:t>
      </w:r>
    </w:p>
    <w:p>
      <w:pPr>
        <w:pBdr>
          <w:bottom w:val="single" w:color="C3AF88" w:sz="6" w:space="4"/>
        </w:pBdr>
        <w:spacing w:after="180" w:before="360"/>
      </w:pPr>
      <w:r>
        <w:rPr>
          <w:rFonts w:ascii="Roboto" w:cs="Roboto" w:eastAsia="Roboto" w:hAnsi="Roboto"/>
          <w:b/>
          <w:bCs/>
          <w:color w:val="535B50"/>
          <w:sz w:val="28"/>
          <w:szCs w:val="28"/>
        </w:rPr>
        <w:t xml:space="preserve">Section 2 — Detailed Biomarker Analysis</w:t>
      </w:r>
    </w:p>
    <w:p>
      <w:pPr>
        <w:spacing w:after="240"/>
      </w:pPr>
      <w:r>
        <w:rPr>
          <w:rFonts w:ascii="Roboto" w:cs="Roboto" w:eastAsia="Roboto" w:hAnsi="Roboto"/>
          <w:b w:val="false"/>
          <w:bCs w:val="false"/>
          <w:color w:val="000000"/>
          <w:sz w:val="22"/>
          <w:szCs w:val="22"/>
        </w:rPr>
        <w:t xml:space="preserve">The following 14 biomarker findings are surfaced for practitioner review. Each finding includes a hedged interpretation, possible contributors per the published literature, and the relevance of the finding to the formulation strategy.</w:t>
      </w:r>
    </w:p>
    <w:p>
      <w:pPr>
        <w:spacing w:after="60" w:before="120"/>
      </w:pPr>
      <w:r>
        <w:rPr>
          <w:rFonts w:ascii="Roboto" w:cs="Roboto" w:eastAsia="Roboto" w:hAnsi="Roboto"/>
          <w:b/>
          <w:bCs/>
          <w:color w:val="535B50"/>
          <w:sz w:val="22"/>
          <w:szCs w:val="22"/>
        </w:rPr>
        <w:t xml:space="preserve">hsCRP</w:t>
      </w:r>
      <w:r>
        <w:rPr>
          <w:rFonts w:ascii="Roboto" w:cs="Roboto" w:eastAsia="Roboto" w:hAnsi="Roboto"/>
          <w:color w:val="000000"/>
          <w:sz w:val="22"/>
          <w:szCs w:val="22"/>
        </w:rPr>
        <w:t xml:space="preserve">   6.88 mg/L</w:t>
      </w:r>
      <w:r>
        <w:rPr>
          <w:rFonts w:ascii="Roboto" w:cs="Roboto" w:eastAsia="Roboto" w:hAnsi="Roboto"/>
          <w:i/>
          <w:iCs/>
          <w:color w:val="666666"/>
          <w:sz w:val="20"/>
          <w:szCs w:val="20"/>
        </w:rPr>
        <w:t xml:space="preserve">   (ref: 0.00–5.00 mg/L)</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Mildly elevated per laboratory reference framework — pattern consistent with low-grade systemic inflammation.</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Published literature identifies dietary factors, adiposity, subclinical infections, sleep disruption, and oxidative stress as factors that may contribute to elevated hsCRP — practitioner to assess relevance.</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Primary driver for the anti_inflammatory_core axis — supports practitioner consideration of curcumin, boswellia, quercetin, and resveratrol.</w:t>
      </w:r>
    </w:p>
    <w:p>
      <w:pPr>
        <w:spacing w:after="60" w:before="120"/>
      </w:pPr>
      <w:r>
        <w:rPr>
          <w:rFonts w:ascii="Roboto" w:cs="Roboto" w:eastAsia="Roboto" w:hAnsi="Roboto"/>
          <w:b/>
          <w:bCs/>
          <w:color w:val="535B50"/>
          <w:sz w:val="22"/>
          <w:szCs w:val="22"/>
        </w:rPr>
        <w:t xml:space="preserve">FT3:Reverse T3 Ratio</w:t>
      </w:r>
      <w:r>
        <w:rPr>
          <w:rFonts w:ascii="Roboto" w:cs="Roboto" w:eastAsia="Roboto" w:hAnsi="Roboto"/>
          <w:color w:val="000000"/>
          <w:sz w:val="22"/>
          <w:szCs w:val="22"/>
        </w:rPr>
        <w:t xml:space="preserve">   0.787</w:t>
      </w:r>
      <w:r>
        <w:rPr>
          <w:rFonts w:ascii="Roboto" w:cs="Roboto" w:eastAsia="Roboto" w:hAnsi="Roboto"/>
          <w:i/>
          <w:iCs/>
          <w:color w:val="666666"/>
          <w:sz w:val="20"/>
          <w:szCs w:val="20"/>
        </w:rPr>
        <w:t xml:space="preserve">   (ref: 1.200–2.200)</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Below laboratory optimal range — pattern suggesting impaired peripheral T4 to T3 conversion for practitioner consideration.</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Published literature identifies inflammation, cortisol dysregulation, selenium/zinc status, and caloric restriction as factors that may contribute to this pattern — practitioner to assess relevance.</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Supports practitioner consideration of the thyroid_adaptogenic axis — zinc (deiodinase cofactor), ashwagandha, and rhodiola may be considered. Iodine is not indicated at elevated dose here as antibodies are negative but selenium is at 90% of upper RBC reference — see binding exclusion.</w:t>
      </w:r>
    </w:p>
    <w:p>
      <w:pPr>
        <w:spacing w:after="60" w:before="120"/>
      </w:pPr>
      <w:r>
        <w:rPr>
          <w:rFonts w:ascii="Roboto" w:cs="Roboto" w:eastAsia="Roboto" w:hAnsi="Roboto"/>
          <w:b/>
          <w:bCs/>
          <w:color w:val="535B50"/>
          <w:sz w:val="22"/>
          <w:szCs w:val="22"/>
        </w:rPr>
        <w:t xml:space="preserve">Reverse T3</w:t>
      </w:r>
      <w:r>
        <w:rPr>
          <w:rFonts w:ascii="Roboto" w:cs="Roboto" w:eastAsia="Roboto" w:hAnsi="Roboto"/>
          <w:color w:val="000000"/>
          <w:sz w:val="22"/>
          <w:szCs w:val="22"/>
        </w:rPr>
        <w:t xml:space="preserve">   449.6 pmol/L</w:t>
      </w:r>
      <w:r>
        <w:rPr>
          <w:rFonts w:ascii="Roboto" w:cs="Roboto" w:eastAsia="Roboto" w:hAnsi="Roboto"/>
          <w:i/>
          <w:iCs/>
          <w:color w:val="666666"/>
          <w:sz w:val="20"/>
          <w:szCs w:val="20"/>
        </w:rPr>
        <w:t xml:space="preserve">   (ref: 230.0–540.0 pmol/L)</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Upper portion of reference range.</w:t>
      </w:r>
    </w:p>
    <w:p>
      <w:pPr>
        <w:spacing w:after="60" w:before="120"/>
      </w:pPr>
      <w:r>
        <w:rPr>
          <w:rFonts w:ascii="Roboto" w:cs="Roboto" w:eastAsia="Roboto" w:hAnsi="Roboto"/>
          <w:b/>
          <w:bCs/>
          <w:color w:val="535B50"/>
          <w:sz w:val="22"/>
          <w:szCs w:val="22"/>
        </w:rPr>
        <w:t xml:space="preserve">Free T3</w:t>
      </w:r>
      <w:r>
        <w:rPr>
          <w:rFonts w:ascii="Roboto" w:cs="Roboto" w:eastAsia="Roboto" w:hAnsi="Roboto"/>
          <w:color w:val="000000"/>
          <w:sz w:val="22"/>
          <w:szCs w:val="22"/>
        </w:rPr>
        <w:t xml:space="preserve">   3.5 pmol/L</w:t>
      </w:r>
      <w:r>
        <w:rPr>
          <w:rFonts w:ascii="Roboto" w:cs="Roboto" w:eastAsia="Roboto" w:hAnsi="Roboto"/>
          <w:i/>
          <w:iCs/>
          <w:color w:val="666666"/>
          <w:sz w:val="20"/>
          <w:szCs w:val="20"/>
        </w:rPr>
        <w:t xml:space="preserve">   (ref: 3.1–6.8 pmol/L)</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Lower portion of reference range.</w:t>
      </w:r>
    </w:p>
    <w:p>
      <w:pPr>
        <w:spacing w:after="60" w:before="120"/>
      </w:pPr>
      <w:r>
        <w:rPr>
          <w:rFonts w:ascii="Roboto" w:cs="Roboto" w:eastAsia="Roboto" w:hAnsi="Roboto"/>
          <w:b/>
          <w:bCs/>
          <w:color w:val="535B50"/>
          <w:sz w:val="22"/>
          <w:szCs w:val="22"/>
        </w:rPr>
        <w:t xml:space="preserve">VLDL</w:t>
      </w:r>
      <w:r>
        <w:rPr>
          <w:rFonts w:ascii="Roboto" w:cs="Roboto" w:eastAsia="Roboto" w:hAnsi="Roboto"/>
          <w:color w:val="000000"/>
          <w:sz w:val="22"/>
          <w:szCs w:val="22"/>
        </w:rPr>
        <w:t xml:space="preserve">   0.7 mmol/L</w:t>
      </w:r>
      <w:r>
        <w:rPr>
          <w:rFonts w:ascii="Roboto" w:cs="Roboto" w:eastAsia="Roboto" w:hAnsi="Roboto"/>
          <w:i/>
          <w:iCs/>
          <w:color w:val="666666"/>
          <w:sz w:val="20"/>
          <w:szCs w:val="20"/>
        </w:rPr>
        <w:t xml:space="preserve">   (ref: 0.1–0.6 mmol/L)</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Mildly elevated per laboratory reference framework.</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Supports practitioner consideration of berberine and bergamot for lipid/metabolic pathway support.</w:t>
      </w:r>
    </w:p>
    <w:p>
      <w:pPr>
        <w:spacing w:after="60" w:before="120"/>
      </w:pPr>
      <w:r>
        <w:rPr>
          <w:rFonts w:ascii="Roboto" w:cs="Roboto" w:eastAsia="Roboto" w:hAnsi="Roboto"/>
          <w:b/>
          <w:bCs/>
          <w:color w:val="535B50"/>
          <w:sz w:val="22"/>
          <w:szCs w:val="22"/>
        </w:rPr>
        <w:t xml:space="preserve">eGFR</w:t>
      </w:r>
      <w:r>
        <w:rPr>
          <w:rFonts w:ascii="Roboto" w:cs="Roboto" w:eastAsia="Roboto" w:hAnsi="Roboto"/>
          <w:color w:val="000000"/>
          <w:sz w:val="22"/>
          <w:szCs w:val="22"/>
        </w:rPr>
        <w:t xml:space="preserve">   67 mL/min/1.73m²</w:t>
      </w:r>
      <w:r>
        <w:rPr>
          <w:rFonts w:ascii="Roboto" w:cs="Roboto" w:eastAsia="Roboto" w:hAnsi="Roboto"/>
          <w:i/>
          <w:iCs/>
          <w:color w:val="666666"/>
          <w:sz w:val="20"/>
          <w:szCs w:val="20"/>
        </w:rPr>
        <w:t xml:space="preserve">   (ref: &gt;90 mL/min/1.73m²)</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Mildly reduced — for practitioner clinical review. Not below the 30 mL/min/1.73m² threshold for refusal but warrants conservative dosing consideration and follow-up.</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Escalation flag raised; conservative dosing applied and standard renal-clearance cautions noted.</w:t>
      </w:r>
    </w:p>
    <w:p>
      <w:pPr>
        <w:spacing w:after="60" w:before="120"/>
      </w:pPr>
      <w:r>
        <w:rPr>
          <w:rFonts w:ascii="Roboto" w:cs="Roboto" w:eastAsia="Roboto" w:hAnsi="Roboto"/>
          <w:b/>
          <w:bCs/>
          <w:color w:val="535B50"/>
          <w:sz w:val="22"/>
          <w:szCs w:val="22"/>
        </w:rPr>
        <w:t xml:space="preserve">Blood lead</w:t>
      </w:r>
      <w:r>
        <w:rPr>
          <w:rFonts w:ascii="Roboto" w:cs="Roboto" w:eastAsia="Roboto" w:hAnsi="Roboto"/>
          <w:color w:val="000000"/>
          <w:sz w:val="22"/>
          <w:szCs w:val="22"/>
        </w:rPr>
        <w:t xml:space="preserve">   14.05 µg/L</w:t>
      </w:r>
      <w:r>
        <w:rPr>
          <w:rFonts w:ascii="Roboto" w:cs="Roboto" w:eastAsia="Roboto" w:hAnsi="Roboto"/>
          <w:i/>
          <w:iCs/>
          <w:color w:val="666666"/>
          <w:sz w:val="20"/>
          <w:szCs w:val="20"/>
        </w:rPr>
        <w:t xml:space="preserve">   (ref: 0.00–50.00 µg/L)</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Within laboratory reference but detectable — for practitioner consideration in the context of the toxicant-burdened pattern.</w:t>
      </w:r>
    </w:p>
    <w:p>
      <w:pPr>
        <w:spacing w:after="60" w:before="120"/>
      </w:pPr>
      <w:r>
        <w:rPr>
          <w:rFonts w:ascii="Roboto" w:cs="Roboto" w:eastAsia="Roboto" w:hAnsi="Roboto"/>
          <w:b/>
          <w:bCs/>
          <w:color w:val="535B50"/>
          <w:sz w:val="22"/>
          <w:szCs w:val="22"/>
        </w:rPr>
        <w:t xml:space="preserve">Blood aluminium</w:t>
      </w:r>
      <w:r>
        <w:rPr>
          <w:rFonts w:ascii="Roboto" w:cs="Roboto" w:eastAsia="Roboto" w:hAnsi="Roboto"/>
          <w:color w:val="000000"/>
          <w:sz w:val="22"/>
          <w:szCs w:val="22"/>
        </w:rPr>
        <w:t xml:space="preserve">   28.13 µg/L</w:t>
      </w:r>
      <w:r>
        <w:rPr>
          <w:rFonts w:ascii="Roboto" w:cs="Roboto" w:eastAsia="Roboto" w:hAnsi="Roboto"/>
          <w:i/>
          <w:iCs/>
          <w:color w:val="666666"/>
          <w:sz w:val="20"/>
          <w:szCs w:val="20"/>
        </w:rPr>
        <w:t xml:space="preserve">   (ref: 0.00–30.00 µg/L)</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Upper end of reference — for practitioner consideration.</w:t>
      </w:r>
    </w:p>
    <w:p>
      <w:pPr>
        <w:spacing w:after="60" w:before="120"/>
      </w:pPr>
      <w:r>
        <w:rPr>
          <w:rFonts w:ascii="Roboto" w:cs="Roboto" w:eastAsia="Roboto" w:hAnsi="Roboto"/>
          <w:b/>
          <w:bCs/>
          <w:color w:val="535B50"/>
          <w:sz w:val="22"/>
          <w:szCs w:val="22"/>
        </w:rPr>
        <w:t xml:space="preserve">Copper:Zinc ratio</w:t>
      </w:r>
      <w:r>
        <w:rPr>
          <w:rFonts w:ascii="Roboto" w:cs="Roboto" w:eastAsia="Roboto" w:hAnsi="Roboto"/>
          <w:color w:val="000000"/>
          <w:sz w:val="22"/>
          <w:szCs w:val="22"/>
        </w:rPr>
        <w:t xml:space="preserve">   1.50</w:t>
      </w:r>
      <w:r>
        <w:rPr>
          <w:rFonts w:ascii="Roboto" w:cs="Roboto" w:eastAsia="Roboto" w:hAnsi="Roboto"/>
          <w:i/>
          <w:iCs/>
          <w:color w:val="666666"/>
          <w:sz w:val="20"/>
          <w:szCs w:val="20"/>
        </w:rPr>
        <w:t xml:space="preserve">   (ref: 0.54–1.68)</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At upper reference limit per laboratory framework. Combined with plasma zinc in lower portion of reference (9.9 µmol/L, range 9.0–19.0), pattern suggests practitioner may wish to prioritise zinc repletion.</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Copper is excluded as a binding exclusion (Cu:Zn ratio at/above 1.50). Zinc citrate included at moderate dose to support the ratio.</w:t>
      </w:r>
    </w:p>
    <w:p>
      <w:pPr>
        <w:spacing w:after="60" w:before="120"/>
      </w:pPr>
      <w:r>
        <w:rPr>
          <w:rFonts w:ascii="Roboto" w:cs="Roboto" w:eastAsia="Roboto" w:hAnsi="Roboto"/>
          <w:b/>
          <w:bCs/>
          <w:color w:val="535B50"/>
          <w:sz w:val="22"/>
          <w:szCs w:val="22"/>
        </w:rPr>
        <w:t xml:space="preserve">Red cell selenium</w:t>
      </w:r>
      <w:r>
        <w:rPr>
          <w:rFonts w:ascii="Roboto" w:cs="Roboto" w:eastAsia="Roboto" w:hAnsi="Roboto"/>
          <w:color w:val="000000"/>
          <w:sz w:val="22"/>
          <w:szCs w:val="22"/>
        </w:rPr>
        <w:t xml:space="preserve">   498.9 µg/L</w:t>
      </w:r>
      <w:r>
        <w:rPr>
          <w:rFonts w:ascii="Roboto" w:cs="Roboto" w:eastAsia="Roboto" w:hAnsi="Roboto"/>
          <w:i/>
          <w:iCs/>
          <w:color w:val="666666"/>
          <w:sz w:val="20"/>
          <w:szCs w:val="20"/>
        </w:rPr>
        <w:t xml:space="preserve">   (ref: 190.0–500.0 µg/L)</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At the upper reference limit (99.8% of upper limit) per laboratory framework.</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Selenium is excluded as a binding exclusion (RBC selenium at ≥90% of upper reference limit).</w:t>
      </w:r>
    </w:p>
    <w:p>
      <w:pPr>
        <w:spacing w:after="60" w:before="120"/>
      </w:pPr>
      <w:r>
        <w:rPr>
          <w:rFonts w:ascii="Roboto" w:cs="Roboto" w:eastAsia="Roboto" w:hAnsi="Roboto"/>
          <w:b/>
          <w:bCs/>
          <w:color w:val="535B50"/>
          <w:sz w:val="22"/>
          <w:szCs w:val="22"/>
        </w:rPr>
        <w:t xml:space="preserve">Ferritin</w:t>
      </w:r>
      <w:r>
        <w:rPr>
          <w:rFonts w:ascii="Roboto" w:cs="Roboto" w:eastAsia="Roboto" w:hAnsi="Roboto"/>
          <w:color w:val="000000"/>
          <w:sz w:val="22"/>
          <w:szCs w:val="22"/>
        </w:rPr>
        <w:t xml:space="preserve">   243 µg/L</w:t>
      </w:r>
      <w:r>
        <w:rPr>
          <w:rFonts w:ascii="Roboto" w:cs="Roboto" w:eastAsia="Roboto" w:hAnsi="Roboto"/>
          <w:i/>
          <w:iCs/>
          <w:color w:val="666666"/>
          <w:sz w:val="20"/>
          <w:szCs w:val="20"/>
        </w:rPr>
        <w:t xml:space="preserve">   (ref: 30–300 µg/L)</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Upper portion of reference; combined with transferrin saturation 32%, no indication for iron supplementation.</w:t>
      </w:r>
    </w:p>
    <w:p>
      <w:pPr>
        <w:spacing w:after="60" w:before="120"/>
      </w:pPr>
      <w:r>
        <w:rPr>
          <w:rFonts w:ascii="Roboto" w:cs="Roboto" w:eastAsia="Roboto" w:hAnsi="Roboto"/>
          <w:b/>
          <w:bCs/>
          <w:color w:val="535B50"/>
          <w:sz w:val="22"/>
          <w:szCs w:val="22"/>
        </w:rPr>
        <w:t xml:space="preserve">Anion gap</w:t>
      </w:r>
      <w:r>
        <w:rPr>
          <w:rFonts w:ascii="Roboto" w:cs="Roboto" w:eastAsia="Roboto" w:hAnsi="Roboto"/>
          <w:color w:val="000000"/>
          <w:sz w:val="22"/>
          <w:szCs w:val="22"/>
        </w:rPr>
        <w:t xml:space="preserve">   18 mmol/L</w:t>
      </w:r>
      <w:r>
        <w:rPr>
          <w:rFonts w:ascii="Roboto" w:cs="Roboto" w:eastAsia="Roboto" w:hAnsi="Roboto"/>
          <w:i/>
          <w:iCs/>
          <w:color w:val="666666"/>
          <w:sz w:val="20"/>
          <w:szCs w:val="20"/>
        </w:rPr>
        <w:t xml:space="preserve">   (ref: 8–16 mmol/L)</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Mildly elevated — for practitioner clinical review.</w:t>
      </w:r>
    </w:p>
    <w:p>
      <w:pPr>
        <w:spacing w:after="60" w:before="120"/>
      </w:pPr>
      <w:r>
        <w:rPr>
          <w:rFonts w:ascii="Roboto" w:cs="Roboto" w:eastAsia="Roboto" w:hAnsi="Roboto"/>
          <w:b/>
          <w:bCs/>
          <w:color w:val="535B50"/>
          <w:sz w:val="22"/>
          <w:szCs w:val="22"/>
        </w:rPr>
        <w:t xml:space="preserve">Fibrinogen</w:t>
      </w:r>
      <w:r>
        <w:rPr>
          <w:rFonts w:ascii="Roboto" w:cs="Roboto" w:eastAsia="Roboto" w:hAnsi="Roboto"/>
          <w:color w:val="000000"/>
          <w:sz w:val="22"/>
          <w:szCs w:val="22"/>
        </w:rPr>
        <w:t xml:space="preserve">   4.5 g/L</w:t>
      </w:r>
      <w:r>
        <w:rPr>
          <w:rFonts w:ascii="Roboto" w:cs="Roboto" w:eastAsia="Roboto" w:hAnsi="Roboto"/>
          <w:i/>
          <w:iCs/>
          <w:color w:val="666666"/>
          <w:sz w:val="20"/>
          <w:szCs w:val="20"/>
        </w:rPr>
        <w:t xml:space="preserve">   (ref: 2.0–4.5 g/L)</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Upper reference limit — supports the inflammatory-metabolic pattern.</w:t>
      </w:r>
    </w:p>
    <w:p>
      <w:pPr>
        <w:spacing w:after="60" w:before="120"/>
      </w:pPr>
      <w:r>
        <w:rPr>
          <w:rFonts w:ascii="Roboto" w:cs="Roboto" w:eastAsia="Roboto" w:hAnsi="Roboto"/>
          <w:b/>
          <w:bCs/>
          <w:color w:val="535B50"/>
          <w:sz w:val="22"/>
          <w:szCs w:val="22"/>
        </w:rPr>
        <w:t xml:space="preserve">25-OH Vitamin D</w:t>
      </w:r>
      <w:r>
        <w:rPr>
          <w:rFonts w:ascii="Roboto" w:cs="Roboto" w:eastAsia="Roboto" w:hAnsi="Roboto"/>
          <w:color w:val="000000"/>
          <w:sz w:val="22"/>
          <w:szCs w:val="22"/>
        </w:rPr>
        <w:t xml:space="preserve">   69 nmol/L</w:t>
      </w:r>
      <w:r>
        <w:rPr>
          <w:rFonts w:ascii="Roboto" w:cs="Roboto" w:eastAsia="Roboto" w:hAnsi="Roboto"/>
          <w:i/>
          <w:iCs/>
          <w:color w:val="666666"/>
          <w:sz w:val="20"/>
          <w:szCs w:val="20"/>
        </w:rPr>
        <w:t xml:space="preserve">   (ref: 50–200 nmol/L)</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Mid-lower range; modest supplementation may be considered.</w:t>
      </w:r>
    </w:p>
    <w:p>
      <w:pPr>
        <w:pBdr>
          <w:bottom w:val="single" w:color="C3AF88" w:sz="6" w:space="4"/>
        </w:pBdr>
        <w:spacing w:after="180" w:before="360"/>
      </w:pPr>
      <w:r>
        <w:rPr>
          <w:rFonts w:ascii="Roboto" w:cs="Roboto" w:eastAsia="Roboto" w:hAnsi="Roboto"/>
          <w:b/>
          <w:bCs/>
          <w:color w:val="535B50"/>
          <w:sz w:val="28"/>
          <w:szCs w:val="28"/>
        </w:rPr>
        <w:t xml:space="preserve">Section 3 — Diet and Lifestyle Considerations</w:t>
      </w:r>
    </w:p>
    <w:p>
      <w:pPr>
        <w:spacing w:after="240"/>
      </w:pPr>
      <w:r>
        <w:rPr>
          <w:rFonts w:ascii="Roboto" w:cs="Roboto" w:eastAsia="Roboto" w:hAnsi="Roboto"/>
          <w:b w:val="false"/>
          <w:bCs w:val="false"/>
          <w:color w:val="000000"/>
          <w:sz w:val="22"/>
          <w:szCs w:val="22"/>
        </w:rPr>
        <w:t xml:space="preserve">The following considerations are surfaced for practitioner-led discussion. They sit alongside the recommended formulation rather than substituting for it.</w:t>
      </w:r>
    </w:p>
    <w:p>
      <w:pPr>
        <w:spacing w:after="60" w:before="120"/>
      </w:pPr>
      <w:r>
        <w:rPr>
          <w:rFonts w:ascii="Roboto" w:cs="Roboto" w:eastAsia="Roboto" w:hAnsi="Roboto"/>
          <w:b/>
          <w:bCs/>
          <w:color w:val="535B50"/>
          <w:sz w:val="22"/>
          <w:szCs w:val="22"/>
        </w:rPr>
        <w:t xml:space="preserve">Anti-inflammatory dietary pattern</w:t>
      </w:r>
    </w:p>
    <w:p>
      <w:pPr>
        <w:spacing w:after="60"/>
      </w:pPr>
      <w:r>
        <w:rPr>
          <w:rFonts w:ascii="Roboto" w:cs="Roboto" w:eastAsia="Roboto" w:hAnsi="Roboto"/>
          <w:b/>
          <w:bCs/>
          <w:color w:val="535B50"/>
          <w:sz w:val="20"/>
          <w:szCs w:val="20"/>
        </w:rPr>
        <w:t xml:space="preserve">Consideration: </w:t>
      </w:r>
      <w:r>
        <w:rPr>
          <w:rFonts w:ascii="Roboto" w:cs="Roboto" w:eastAsia="Roboto" w:hAnsi="Roboto"/>
          <w:color w:val="000000"/>
          <w:sz w:val="20"/>
          <w:szCs w:val="20"/>
        </w:rPr>
        <w:t xml:space="preserve">Given the elevated hsCRP and mildly elevated VLDL, the practitioner may wish to discuss a Mediterranean-style eating pattern rich in polyphenols, oily fish (for omega-3), and reduced ultra-processed carbohydrate load.</w:t>
      </w:r>
    </w:p>
    <w:p>
      <w:pPr>
        <w:spacing w:after="60"/>
      </w:pPr>
      <w:r>
        <w:rPr>
          <w:rFonts w:ascii="Roboto" w:cs="Roboto" w:eastAsia="Roboto" w:hAnsi="Roboto"/>
          <w:b/>
          <w:bCs/>
          <w:color w:val="535B50"/>
          <w:sz w:val="20"/>
          <w:szCs w:val="20"/>
        </w:rPr>
        <w:t xml:space="preserve">Rationale: </w:t>
      </w:r>
      <w:r>
        <w:rPr>
          <w:rFonts w:ascii="Roboto" w:cs="Roboto" w:eastAsia="Roboto" w:hAnsi="Roboto"/>
          <w:color w:val="000000"/>
          <w:sz w:val="20"/>
          <w:szCs w:val="20"/>
        </w:rPr>
        <w:t xml:space="preserve">Supports the inflammatory-metabolic pattern identified on the panel.</w:t>
      </w:r>
    </w:p>
    <w:p>
      <w:pPr>
        <w:spacing w:after="60" w:before="120"/>
      </w:pPr>
      <w:r>
        <w:rPr>
          <w:rFonts w:ascii="Roboto" w:cs="Roboto" w:eastAsia="Roboto" w:hAnsi="Roboto"/>
          <w:b/>
          <w:bCs/>
          <w:color w:val="535B50"/>
          <w:sz w:val="22"/>
          <w:szCs w:val="22"/>
        </w:rPr>
        <w:t xml:space="preserve">Environmental exposure review</w:t>
      </w:r>
    </w:p>
    <w:p>
      <w:pPr>
        <w:spacing w:after="60"/>
      </w:pPr>
      <w:r>
        <w:rPr>
          <w:rFonts w:ascii="Roboto" w:cs="Roboto" w:eastAsia="Roboto" w:hAnsi="Roboto"/>
          <w:b/>
          <w:bCs/>
          <w:color w:val="535B50"/>
          <w:sz w:val="20"/>
          <w:szCs w:val="20"/>
        </w:rPr>
        <w:t xml:space="preserve">Consideration: </w:t>
      </w:r>
      <w:r>
        <w:rPr>
          <w:rFonts w:ascii="Roboto" w:cs="Roboto" w:eastAsia="Roboto" w:hAnsi="Roboto"/>
          <w:color w:val="000000"/>
          <w:sz w:val="20"/>
          <w:szCs w:val="20"/>
        </w:rPr>
        <w:t xml:space="preserve">Detectable blood lead (14.05 µg/L) and aluminium at upper reference (28.13 µg/L) suggest the practitioner may wish to explore environmental and occupational exposures with the patient.</w:t>
      </w:r>
    </w:p>
    <w:p>
      <w:pPr>
        <w:spacing w:after="60"/>
      </w:pPr>
      <w:r>
        <w:rPr>
          <w:rFonts w:ascii="Roboto" w:cs="Roboto" w:eastAsia="Roboto" w:hAnsi="Roboto"/>
          <w:b/>
          <w:bCs/>
          <w:color w:val="535B50"/>
          <w:sz w:val="20"/>
          <w:szCs w:val="20"/>
        </w:rPr>
        <w:t xml:space="preserve">Rationale: </w:t>
      </w:r>
      <w:r>
        <w:rPr>
          <w:rFonts w:ascii="Roboto" w:cs="Roboto" w:eastAsia="Roboto" w:hAnsi="Roboto"/>
          <w:color w:val="000000"/>
          <w:sz w:val="20"/>
          <w:szCs w:val="20"/>
        </w:rPr>
        <w:t xml:space="preserve">Supports the toxicant-burdened pattern and informs Phase II support.</w:t>
      </w:r>
    </w:p>
    <w:p>
      <w:pPr>
        <w:spacing w:after="60" w:before="120"/>
      </w:pPr>
      <w:r>
        <w:rPr>
          <w:rFonts w:ascii="Roboto" w:cs="Roboto" w:eastAsia="Roboto" w:hAnsi="Roboto"/>
          <w:b/>
          <w:bCs/>
          <w:color w:val="535B50"/>
          <w:sz w:val="22"/>
          <w:szCs w:val="22"/>
        </w:rPr>
        <w:t xml:space="preserve">Sleep and HPA regulation</w:t>
      </w:r>
    </w:p>
    <w:p>
      <w:pPr>
        <w:spacing w:after="60"/>
      </w:pPr>
      <w:r>
        <w:rPr>
          <w:rFonts w:ascii="Roboto" w:cs="Roboto" w:eastAsia="Roboto" w:hAnsi="Roboto"/>
          <w:b/>
          <w:bCs/>
          <w:color w:val="535B50"/>
          <w:sz w:val="20"/>
          <w:szCs w:val="20"/>
        </w:rPr>
        <w:t xml:space="preserve">Consideration: </w:t>
      </w:r>
      <w:r>
        <w:rPr>
          <w:rFonts w:ascii="Roboto" w:cs="Roboto" w:eastAsia="Roboto" w:hAnsi="Roboto"/>
          <w:color w:val="000000"/>
          <w:sz w:val="20"/>
          <w:szCs w:val="20"/>
        </w:rPr>
        <w:t xml:space="preserve">Cortisol OA 19.7 ug/gCR is within reference. The practitioner may wish to explore sleep quality and stress load as contributors to the inflammatory pattern and thyroid conversion.</w:t>
      </w:r>
    </w:p>
    <w:p>
      <w:pPr>
        <w:spacing w:after="60"/>
      </w:pPr>
      <w:r>
        <w:rPr>
          <w:rFonts w:ascii="Roboto" w:cs="Roboto" w:eastAsia="Roboto" w:hAnsi="Roboto"/>
          <w:b/>
          <w:bCs/>
          <w:color w:val="535B50"/>
          <w:sz w:val="20"/>
          <w:szCs w:val="20"/>
        </w:rPr>
        <w:t xml:space="preserve">Rationale: </w:t>
      </w:r>
      <w:r>
        <w:rPr>
          <w:rFonts w:ascii="Roboto" w:cs="Roboto" w:eastAsia="Roboto" w:hAnsi="Roboto"/>
          <w:color w:val="000000"/>
          <w:sz w:val="20"/>
          <w:szCs w:val="20"/>
        </w:rPr>
        <w:t xml:space="preserve">HPA regulation supports thyroid conversion and inflammation resolution.</w:t>
      </w:r>
    </w:p>
    <w:p>
      <w:pPr>
        <w:pBdr>
          <w:bottom w:val="single" w:color="C3AF88" w:sz="6" w:space="4"/>
        </w:pBdr>
        <w:spacing w:after="180" w:before="360"/>
      </w:pPr>
      <w:r>
        <w:rPr>
          <w:rFonts w:ascii="Roboto" w:cs="Roboto" w:eastAsia="Roboto" w:hAnsi="Roboto"/>
          <w:b/>
          <w:bCs/>
          <w:color w:val="535B50"/>
          <w:sz w:val="28"/>
          <w:szCs w:val="28"/>
        </w:rPr>
        <w:t xml:space="preserve">Section 4 — Recommended Formulation Logic</w:t>
      </w:r>
    </w:p>
    <w:p>
      <w:pPr>
        <w:spacing w:after="180" w:before="240"/>
      </w:pPr>
      <w:r>
        <w:rPr>
          <w:rFonts w:ascii="Roboto" w:cs="Roboto" w:eastAsia="Roboto" w:hAnsi="Roboto"/>
          <w:b/>
          <w:bCs/>
          <w:color w:val="535B50"/>
          <w:sz w:val="24"/>
          <w:szCs w:val="24"/>
        </w:rPr>
        <w:t xml:space="preserve">Overall strategy</w:t>
      </w:r>
    </w:p>
    <w:p>
      <w:pPr>
        <w:spacing w:after="120"/>
      </w:pPr>
      <w:r>
        <w:rPr>
          <w:rFonts w:ascii="Roboto" w:cs="Roboto" w:eastAsia="Roboto" w:hAnsi="Roboto"/>
          <w:b w:val="false"/>
          <w:bCs w:val="false"/>
          <w:color w:val="000000"/>
          <w:sz w:val="22"/>
          <w:szCs w:val="22"/>
        </w:rPr>
        <w:t xml:space="preserve">The formulation addresses four active axes activated by the biomarker panel: (1) anti_inflammatory_core as primary (hsCRP elevated) with a full stack of turmeric, boswellia, quercetin, and resveratrol; (2) antioxidant_redox / heavy_metal_detox as primary (mild toxicant burden, NAC OA low, Cu:Zn upper reference) with NAC, glutathione, ALA, milk thistle, and calcium D-glucarate; (3) thyroid_adaptogenic as secondary (FT3:RT3 ratio low) with ashwagandha, rhodiola, zinc citrate, and conservative iodine (permitted since antibodies negative); (4) mitochondrial_cardiovascular as secondary (TCA intermediates low, VLDL mildly elevated) with CoQ10, alpha-lipoic acid, and bergamot. Supportive axes: b_vitamins_methylation (broad cofactor support including P5P, B2, B3, B5, thiamine, methylcobalamin, folate); minerals (magnesium glycinate as TCA/mitochondrial cofactor); and vitamin_d_c_neurotransmitter (vitamin C, vitamin D3). Given a 4-pattern panel, the pod-fill principle is applied — targeting the 660–690 running estimate range through breadth across axes at moderate doses. Binding exclusions applied: copper (Cu:Zn 1.50 at upper reference threshold) and selenium (RBC selenium 498.9 at 99.8% of upper reference).</w:t>
      </w:r>
    </w:p>
    <w:p>
      <w:pPr>
        <w:spacing w:after="180" w:before="240"/>
      </w:pPr>
      <w:r>
        <w:rPr>
          <w:rFonts w:ascii="Roboto" w:cs="Roboto" w:eastAsia="Roboto" w:hAnsi="Roboto"/>
          <w:b/>
          <w:bCs/>
          <w:color w:val="535B50"/>
          <w:sz w:val="24"/>
          <w:szCs w:val="24"/>
        </w:rPr>
        <w:t xml:space="preserve">What was intentionally included, and why</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Turmeric (Curcumin) — 500 mg: Foundational anti-inflammatory anchor for the inflammatory-metabolic pattern (hsCRP 6.88 mg/L). RCT evidence supports curcumin's potential to reduce hsCRP in chronic inflammation contexts. Dose reduced from clinical target 1000 mg to fit pod budget alongside stacked ingredients.</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Boswellia (Frankincense) — 200 mg: Layer anti-inflammatory targeting the 5-LOX pathway complementary to curcumin's NF-κB mechanism. Moderate dose to preserve pod breadth.</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Quercetin — 250 mg: Layer anti-inflammatory / mast-cell stabiliser with additional metal-buffering rationale in the context of mild toxicant-burdened pattern.</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Resveratrol — 150 mg: Layer polyphenol supporting NF-κB modulation and mitochondrial biogenesis (relevant to the TCA-sluggish pattern).</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N-acetyl cysteine (NAC) — 600 mg: Foundational glutathione precursor for the antioxidant_redox axis (NAC OA 0.02 at lower reference; pyroglutamic acid 9.0 within reference but supportive of GSH cycling stress in context of toxicant-burden pattern).</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Glutathione (S-acetyl) — 100 mg: Directly supports the intracellular antioxidant pool; complementary to NAC precursor pathway. Dose reduced to preserve pod breadth.</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Alpha-lipoic acid — 150 mg: Antioxidant and mitochondrial cofactor with additional glucose-metabolism support relevant to the inflammatory-metabolic pattern (fasting glucose at upper reference 5.4).</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Milk thistle (Silymarin) — 200 mg: Phase II hepatic support (Nrf2-mediated) in the context of mild toxicant-burden pattern (aluminium at upper reference, detectable lead). GGT is low-normal (10) — mildly reduced hepatic conjugation capacity possible.</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Calcium D-glucarate — 200 mg: Supports glucuronidation Phase II conjugation, relevant to the toxicant-burden pattern.</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Coenzyme Q10 — 100 mg: Mitochondrial electron transport chain support; TCA intermediates in the lower portion of reference, and CoQ10 flagged on the lab's own nutritional guide at 90 mg. 100 mg is a common clinical target dose.</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Bergamot — 250 mg: Lipid/metabolic support in the context of mildly elevated VLDL (0.7). Dose reduced from clinical target to preserve pod breadth.</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Ashwagandha — 300 mg: HPA-thyroid axis adaptogen supporting the thyroid-conversion-impaired pattern (FT3:RT3 0.787).</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Rhodiola — 200 mg: Second adaptogen supporting stress response and HPA-axis alongside ashwagandha.</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Potassium iodide (iodine) — 131 mcg: Conservative iodine dose permitted per binding-exclusion rules (thyroid antibodies negative: TPO 9.0, Tg 16.3, TRAb 0.8). Supports thyroid conversion. Deliberately kept at ≤150 mcg conservative floor given Reverse T3 elevated and general caution.</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Zinc citrate — 62.3 mg: Plasma zinc 9.9 µmol/L in the lower portion of the reference range; Cu:Zn ratio 1.50 at upper reference limit. Zinc is also a deiodinase cofactor and supports the thyroid-conversion axis. Zinc supplementation is the appropriate move to lower Cu:Zn without adding copper.</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Magnesium glycinate — 100 mg: Magnesium was flagged at 525 mg on the lab's own nutritional guide. Included at moderate elemental dose (100 mg) within pod budget. Serves as TCA/mitochondrial cofactor and calming/sleep support. Practitioner may wish to consider additional standalone magnesium if the patient requires higher elemental doses.</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Vitamin B6 (P5P) — 15.68 mg: B6 flagged on the lab's nutritional guide at 150 mg. Conservative P5P dose (10 mg elemental pyridoxine equivalent) applied due to TGA scheduling requirements and the neuropathy safety signal. B6 is a deiodinase and neurotransmitter cofactor.</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Riboflavin (Vitamin B2) — 20 mg: B2 (glutaric acid 0.08) low-normal; B2 flagged at 22.5 mg on lab's nutritional guide. Supports fatty-acid metabolism, deiodinase pathways, and TCA function.</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Nicotinamide (Vitamin B3) — 100 mg: B3 flagged at 100 mg on lab's nutritional guide. Nicotinamide form (not niacin) supports NAD+ pools relevant to the TCA-sluggish pattern and general methylation background.</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Pantothenic acid (Vitamin B5) — 100 mg: B5 flagged at 200 mg on the lab's own nutritional guide (pantothenic acid OA 0.39 low-normal). Adrenal cofactor and CoA precursor relevant to TCA and steroid synthesis. Included at moderate dose within pod budget.</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Thiamine (Vitamin B1) — 20 mg: B1 flagged at 5 mg on nutritional guide. Cofactor for pyruvate → acetyl-CoA and TCA function. Included at moderate dose above lab's recommendation given the TCA-sluggish pattern.</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Methylcobalamin (Vitamin B12) — 500 mcg: Homocysteine 8.1 µmol/L (within reference); activated B12 91.3 pmol/L (adequate). Included at moderate maintenance dose as background methylation support alongside folate.</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Calcium folinate (folate) — 218.788 mcg: Serum folate 19 nmol/L (adequate) but background methylation cofactor supports overall methylation cycle, especially with B12.</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Vitamin C — 500 mg: Vitamin C flagged at 1500 mg on the lab's own nutritional guide (ascorbic acid OA 4.13 mid-range). Included at moderate 500 mg dose as antioxidant background and adrenal cofactor.</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Vitamin D3 (colecalciferol) — 25 mcg: 25-OH Vitamin D 69 nmol/L (lower-mid reference). Conservative maintenance dose (25 mcg = 1000 IU) at TGA maximum daily.</w:t>
      </w:r>
    </w:p>
    <w:p>
      <w:pPr>
        <w:spacing w:after="180" w:before="240"/>
      </w:pPr>
      <w:r>
        <w:rPr>
          <w:rFonts w:ascii="Roboto" w:cs="Roboto" w:eastAsia="Roboto" w:hAnsi="Roboto"/>
          <w:b/>
          <w:bCs/>
          <w:color w:val="535B50"/>
          <w:sz w:val="24"/>
          <w:szCs w:val="24"/>
        </w:rPr>
        <w:t xml:space="preserve">What was intentionally excluded, and why</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Copper (any form) — Cu:Zn ratio 1.50 at upper reference limit; binding exclusion applied automatically to prevent worsening the ratio.</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Selenium / selenomethionine — RBC selenium 498.9 µg/L (99.8% of upper reference 500.0 µg/L). Binding exclusion applied — selenosis is cumulative.</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Iron (any form) — Ferritin 243 µg/L (upper portion of reference) and transferrin saturation 32%; no indication for iron supplementation, and pattern does not support iron addition.</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High-dose vitamin A — No specific indication on the panel; conservative default omit.</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5-HTP — No specific serotonergic indication on the biomarker profile; conservative default omit. Also mitigates any serotonergic medication interaction risk in absence of medication history.</w:t>
      </w:r>
    </w:p>
    <w:p>
      <w:pPr>
        <w:spacing w:after="240"/>
      </w:pPr>
      <w:r>
        <w:rPr>
          <w:rFonts w:ascii="Roboto" w:cs="Roboto" w:eastAsia="Roboto" w:hAnsi="Roboto"/>
          <w:b w:val="false"/>
          <w:bCs w:val="false"/>
          <w:color w:val="000000"/>
          <w:sz w:val="22"/>
          <w:szCs w:val="22"/>
        </w:rPr>
        <w:t xml:space="preserve">The detailed ingredient-by-ingredient formulation, including doses, granule counts, and per-ingredient rationale, is in the companion Recommended Formulation Schedule (.xlsx).</w:t>
      </w:r>
    </w:p>
    <w:p>
      <w:pPr>
        <w:pBdr>
          <w:bottom w:val="single" w:color="C3AF88" w:sz="6" w:space="4"/>
        </w:pBdr>
        <w:spacing w:after="180" w:before="360"/>
      </w:pPr>
      <w:r>
        <w:rPr>
          <w:rFonts w:ascii="Roboto" w:cs="Roboto" w:eastAsia="Roboto" w:hAnsi="Roboto"/>
          <w:b/>
          <w:bCs/>
          <w:color w:val="535B50"/>
          <w:sz w:val="28"/>
          <w:szCs w:val="28"/>
        </w:rPr>
        <w:t xml:space="preserve">Section 5 — Contraindication and Interaction Considerations</w:t>
      </w:r>
    </w:p>
    <w:p>
      <w:pPr>
        <w:spacing w:after="180" w:before="240"/>
      </w:pPr>
      <w:r>
        <w:rPr>
          <w:rFonts w:ascii="Roboto" w:cs="Roboto" w:eastAsia="Roboto" w:hAnsi="Roboto"/>
          <w:b/>
          <w:bCs/>
          <w:color w:val="535B50"/>
          <w:sz w:val="24"/>
          <w:szCs w:val="24"/>
        </w:rPr>
        <w:t xml:space="preserve">Contraindication flags</w:t>
      </w:r>
    </w:p>
    <w:p>
      <w:pPr>
        <w:spacing w:after="120"/>
      </w:pPr>
      <w:r>
        <w:rPr>
          <w:rFonts w:ascii="Roboto" w:cs="Roboto" w:eastAsia="Roboto" w:hAnsi="Roboto"/>
          <w:b w:val="false"/>
          <w:bCs w:val="false"/>
          <w:color w:val="000000"/>
          <w:sz w:val="22"/>
          <w:szCs w:val="22"/>
        </w:rPr>
        <w:t xml:space="preserve">4 contraindication or interaction consideration(s) raised for practitioner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1985"/>
        <w:gridCol w:w="4151"/>
        <w:gridCol w:w="1624"/>
      </w:tblGrid>
      <w:tr>
        <w:trPr>
          <w:tblHeader/>
        </w:trPr>
        <w:tc>
          <w:tcPr>
            <w:tcW w:type="dxa" w:w="1263"/>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Severity</w:t>
            </w:r>
          </w:p>
        </w:tc>
        <w:tc>
          <w:tcPr>
            <w:tcW w:type="dxa" w:w="1985"/>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Flag</w:t>
            </w:r>
          </w:p>
        </w:tc>
        <w:tc>
          <w:tcPr>
            <w:tcW w:type="dxa" w:w="4151"/>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Description</w:t>
            </w:r>
          </w:p>
        </w:tc>
        <w:tc>
          <w:tcPr>
            <w:tcW w:type="dxa" w:w="1624"/>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Affected Ingredient(s)</w:t>
            </w:r>
          </w:p>
        </w:tc>
      </w:tr>
      <w:tr>
        <w:tc>
          <w:tcPr>
            <w:tcW w:type="dxa" w:w="126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bCs/>
                <w:color w:val="666666"/>
                <w:sz w:val="20"/>
                <w:szCs w:val="20"/>
              </w:rPr>
              <w:t xml:space="preserve">informational</w:t>
            </w:r>
          </w:p>
        </w:tc>
        <w:tc>
          <w:tcPr>
            <w:tcW w:type="dxa" w:w="1985"/>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medication_context_not_provided</w:t>
            </w:r>
          </w:p>
        </w:tc>
        <w:tc>
          <w:tcPr>
            <w:tcW w:type="dxa" w:w="4151"/>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The practitioner did not provide a current medication list in the clinical notes. The formulation is provided based on the panel findings alone. The practitioner is asked to review standard contraindication checks in context: (a) berberine with glucose-lowering medications — note that berberine is NOT in this formulation, however this reflects the design choice not the absence of check; (b) curcumin/resveratrol/quercetin with anticoagulants — bleeding-risk review; (c) zinc long-term with copper ratio — retest at follow-up; (d) ashwagandha with thyroid medication if any; (e) magnesium with certain antibiotics/bisphosphonates — chelation timing.</w:t>
            </w:r>
          </w:p>
        </w:tc>
        <w:tc>
          <w:tcPr>
            <w:tcW w:type="dxa" w:w="162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Turmeric (Curcumin), Resveratrol, Quercetin, Zinc citrate, Ashwagandha, Magnesium glycinate</w:t>
            </w:r>
          </w:p>
        </w:tc>
      </w:tr>
      <w:tr>
        <w:tc>
          <w:tcPr>
            <w:tcW w:type="dxa" w:w="126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bCs/>
                <w:color w:val="666666"/>
                <w:sz w:val="20"/>
                <w:szCs w:val="20"/>
              </w:rPr>
              <w:t xml:space="preserve">monitor</w:t>
            </w:r>
          </w:p>
        </w:tc>
        <w:tc>
          <w:tcPr>
            <w:tcW w:type="dxa" w:w="1985"/>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renal_function_mildly_reduced</w:t>
            </w:r>
          </w:p>
        </w:tc>
        <w:tc>
          <w:tcPr>
            <w:tcW w:type="dxa" w:w="4151"/>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eGFR 67 mL/min/1.73m² is below reference (&gt;90) but above the 30 mL/min/1.73m² hard-refusal threshold. The practitioner may wish to review renal function at follow-up, and adjust magnesium and any mineral doses if renal function further declines.</w:t>
            </w:r>
          </w:p>
        </w:tc>
        <w:tc>
          <w:tcPr>
            <w:tcW w:type="dxa" w:w="162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Magnesium glycinate, Zinc citrate</w:t>
            </w:r>
          </w:p>
        </w:tc>
      </w:tr>
      <w:tr>
        <w:tc>
          <w:tcPr>
            <w:tcW w:type="dxa" w:w="126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bCs/>
                <w:color w:val="666666"/>
                <w:sz w:val="20"/>
                <w:szCs w:val="20"/>
              </w:rPr>
              <w:t xml:space="preserve">informational</w:t>
            </w:r>
          </w:p>
        </w:tc>
        <w:tc>
          <w:tcPr>
            <w:tcW w:type="dxa" w:w="1985"/>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patient_sex_discrepancy</w:t>
            </w:r>
          </w:p>
        </w:tc>
        <w:tc>
          <w:tcPr>
            <w:tcW w:type="dxa" w:w="4151"/>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The submission metadata records patient sex assigned at birth as female, however the attached NutriPath report is labelled 'Male'. The practitioner may wish to confirm patient sex before dispensing, as this affects hormone metabolism context and reference ranges for sex hormones (testosterone 21.0 nmol/L, SHBG 44 nmol/L, calculated free testosterone 427.6 pmol/L are shown against unspecified ranges). The FBP-class biomarkers used for this formulation are not sex-differential in reference range.</w:t>
            </w:r>
          </w:p>
        </w:tc>
        <w:tc>
          <w:tcPr>
            <w:tcW w:type="dxa" w:w="162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w:t>
            </w:r>
          </w:p>
        </w:tc>
      </w:tr>
      <w:tr>
        <w:tc>
          <w:tcPr>
            <w:tcW w:type="dxa" w:w="126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bCs/>
                <w:color w:val="666666"/>
                <w:sz w:val="20"/>
                <w:szCs w:val="20"/>
              </w:rPr>
              <w:t xml:space="preserve">applied</w:t>
            </w:r>
          </w:p>
        </w:tc>
        <w:tc>
          <w:tcPr>
            <w:tcW w:type="dxa" w:w="1985"/>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cu_zn_ratio_upper_limit_and_low_zinc</w:t>
            </w:r>
          </w:p>
        </w:tc>
        <w:tc>
          <w:tcPr>
            <w:tcW w:type="dxa" w:w="4151"/>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Copper excluded per binding rule; zinc citrate included to lower the ratio. Practitioner to retest Cu:Zn and plasma zinc after ~12 weeks.</w:t>
            </w:r>
          </w:p>
        </w:tc>
        <w:tc>
          <w:tcPr>
            <w:tcW w:type="dxa" w:w="162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w:t>
            </w:r>
          </w:p>
        </w:tc>
      </w:tr>
    </w:tbl>
    <w:p>
      <w:pPr>
        <w:spacing w:after="180" w:before="240"/>
      </w:pPr>
      <w:r>
        <w:rPr>
          <w:rFonts w:ascii="Roboto" w:cs="Roboto" w:eastAsia="Roboto" w:hAnsi="Roboto"/>
          <w:b/>
          <w:bCs/>
          <w:color w:val="535B50"/>
          <w:sz w:val="24"/>
          <w:szCs w:val="24"/>
        </w:rPr>
        <w:t xml:space="preserve">Binding exclusions applied</w:t>
      </w:r>
    </w:p>
    <w:p>
      <w:pPr>
        <w:spacing w:after="120"/>
      </w:pPr>
      <w:r>
        <w:rPr>
          <w:rFonts w:ascii="Roboto" w:cs="Roboto" w:eastAsia="Roboto" w:hAnsi="Roboto"/>
          <w:b w:val="false"/>
          <w:bCs w:val="false"/>
          <w:color w:val="000000"/>
          <w:sz w:val="22"/>
          <w:szCs w:val="22"/>
        </w:rPr>
        <w:t xml:space="preserve">3 binding exclusion(s) applied. These are ingredients held out of the pod because the panel does not measure the data needed to confirm safety, or the panel data crossed a hard exclusion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429"/>
        <w:gridCol w:w="3610"/>
      </w:tblGrid>
      <w:tr>
        <w:trPr>
          <w:tblHeader/>
        </w:trPr>
        <w:tc>
          <w:tcPr>
            <w:tcW w:type="dxa" w:w="1985"/>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Ingredient</w:t>
            </w:r>
          </w:p>
        </w:tc>
        <w:tc>
          <w:tcPr>
            <w:tcW w:type="dxa" w:w="3429"/>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Trigger</w:t>
            </w:r>
          </w:p>
        </w:tc>
        <w:tc>
          <w:tcPr>
            <w:tcW w:type="dxa" w:w="361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Practitioner Note</w:t>
            </w:r>
          </w:p>
        </w:tc>
      </w:tr>
      <w:tr>
        <w:tc>
          <w:tcPr>
            <w:tcW w:type="dxa" w:w="1985"/>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bCs/>
                <w:color w:val="000000"/>
                <w:sz w:val="20"/>
                <w:szCs w:val="20"/>
              </w:rPr>
              <w:t xml:space="preserve">—</w:t>
            </w:r>
          </w:p>
        </w:tc>
        <w:tc>
          <w:tcPr>
            <w:tcW w:type="dxa" w:w="3429"/>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w:t>
            </w:r>
          </w:p>
        </w:tc>
        <w:tc>
          <w:tcPr>
            <w:tcW w:type="dxa" w:w="361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Copper is excluded from the formulation. The clinical move is zinc repletion (which lowers the Cu:Zn ratio) without added copper. The practitioner may wish to re-check the ratio after 3 months of zinc supplementation.</w:t>
            </w:r>
          </w:p>
        </w:tc>
      </w:tr>
      <w:tr>
        <w:tc>
          <w:tcPr>
            <w:tcW w:type="dxa" w:w="1985"/>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bCs/>
                <w:color w:val="000000"/>
                <w:sz w:val="20"/>
                <w:szCs w:val="20"/>
              </w:rPr>
              <w:t xml:space="preserve">—</w:t>
            </w:r>
          </w:p>
        </w:tc>
        <w:tc>
          <w:tcPr>
            <w:tcW w:type="dxa" w:w="3429"/>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w:t>
            </w:r>
          </w:p>
        </w:tc>
        <w:tc>
          <w:tcPr>
            <w:tcW w:type="dxa" w:w="361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Selenium is excluded from the formulation as RBC selenium is at the upper reference. Selenosis is cumulative and this level does not support additional supplementation. Dietary selenium may still be discussed with the patient.</w:t>
            </w:r>
          </w:p>
        </w:tc>
      </w:tr>
      <w:tr>
        <w:tc>
          <w:tcPr>
            <w:tcW w:type="dxa" w:w="1985"/>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bCs/>
                <w:color w:val="000000"/>
                <w:sz w:val="20"/>
                <w:szCs w:val="20"/>
              </w:rPr>
              <w:t xml:space="preserve">—</w:t>
            </w:r>
          </w:p>
        </w:tc>
        <w:tc>
          <w:tcPr>
            <w:tcW w:type="dxa" w:w="3429"/>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w:t>
            </w:r>
          </w:p>
        </w:tc>
        <w:tc>
          <w:tcPr>
            <w:tcW w:type="dxa" w:w="361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Iron is not indicated. Iron status is more than adequate; supplementation would risk iron overload trajectory.</w:t>
            </w:r>
          </w:p>
        </w:tc>
      </w:tr>
    </w:tbl>
    <w:p>
      <w:pPr>
        <w:pBdr>
          <w:bottom w:val="single" w:color="C3AF88" w:sz="6" w:space="4"/>
        </w:pBdr>
        <w:spacing w:after="180" w:before="360"/>
      </w:pPr>
      <w:r>
        <w:rPr>
          <w:rFonts w:ascii="Roboto" w:cs="Roboto" w:eastAsia="Roboto" w:hAnsi="Roboto"/>
          <w:b/>
          <w:bCs/>
          <w:color w:val="535B50"/>
          <w:sz w:val="28"/>
          <w:szCs w:val="28"/>
        </w:rPr>
        <w:t xml:space="preserve">Section 6 — Monitoring and Follow-Up Considerations</w:t>
      </w:r>
    </w:p>
    <w:p>
      <w:pPr>
        <w:spacing w:after="120"/>
      </w:pPr>
      <w:r>
        <w:rPr>
          <w:rFonts w:ascii="Roboto" w:cs="Roboto" w:eastAsia="Roboto" w:hAnsi="Roboto"/>
          <w:b w:val="false"/>
          <w:bCs w:val="false"/>
          <w:color w:val="000000"/>
          <w:sz w:val="22"/>
          <w:szCs w:val="22"/>
        </w:rPr>
        <w:t xml:space="preserve">A re-test of priority markers may be considered by the practitioner at a clinically appropriate interval — commonly 12 weeks after commencing the formulation. Priority markers include hsCRP, FT3, Reverse T3, FT3:RT3 ratio, Cu:Zn ratio, plasma zinc, RBC selenium (for surveillance since RBC Se is at upper reference), eGFR, and blood aluminium / lead.</w:t>
      </w:r>
    </w:p>
    <w:p>
      <w:pPr>
        <w:spacing w:after="180" w:before="240"/>
      </w:pPr>
      <w:r>
        <w:rPr>
          <w:rFonts w:ascii="Roboto" w:cs="Roboto" w:eastAsia="Roboto" w:hAnsi="Roboto"/>
          <w:b/>
          <w:bCs/>
          <w:color w:val="535B50"/>
          <w:sz w:val="24"/>
          <w:szCs w:val="24"/>
        </w:rPr>
        <w:t xml:space="preserve">Markers for practitioner consideration at follow-up</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hsCRP</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FT3, Reverse T3, FT3:RT3 ratio</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Plasma zinc and Cu:Zn ratio</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RBC selenium (surveillance)</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eGFR / renal function</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Fasting glucose and lipid panel (VLDL)</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Blood aluminium and lead</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Fibrinogen</w:t>
      </w:r>
    </w:p>
    <w:p>
      <w:pPr>
        <w:spacing w:after="120" w:before="240"/>
      </w:pPr>
      <w:r>
        <w:rPr>
          <w:rFonts w:ascii="Roboto" w:cs="Roboto" w:eastAsia="Roboto" w:hAnsi="Roboto"/>
          <w:i/>
          <w:iCs/>
          <w:color w:val="666666"/>
          <w:sz w:val="20"/>
          <w:szCs w:val="20"/>
        </w:rPr>
        <w:t xml:space="preserve">Re-testing timing is a clinical option determined by the treating practitioner.</w:t>
      </w:r>
    </w:p>
    <w:p>
      <w:pPr>
        <w:pBdr>
          <w:bottom w:val="single" w:color="C3AF88" w:sz="6" w:space="4"/>
        </w:pBdr>
        <w:spacing w:after="180" w:before="360"/>
      </w:pPr>
      <w:r>
        <w:rPr>
          <w:rFonts w:ascii="Roboto" w:cs="Roboto" w:eastAsia="Roboto" w:hAnsi="Roboto"/>
          <w:b/>
          <w:bCs/>
          <w:color w:val="535B50"/>
          <w:sz w:val="28"/>
          <w:szCs w:val="28"/>
        </w:rPr>
        <w:t xml:space="preserve">Section 7 — Areas of Strength</w:t>
      </w:r>
    </w:p>
    <w:p>
      <w:pPr>
        <w:spacing w:after="120"/>
      </w:pPr>
      <w:r>
        <w:rPr>
          <w:rFonts w:ascii="Roboto" w:cs="Roboto" w:eastAsia="Roboto" w:hAnsi="Roboto"/>
          <w:b w:val="false"/>
          <w:bCs w:val="false"/>
          <w:color w:val="000000"/>
          <w:sz w:val="22"/>
          <w:szCs w:val="22"/>
        </w:rPr>
        <w:t xml:space="preserve">The following 8 finding(s) on this panel are within reference and are surfaced as areas of clinical strength to contextualise the abnormal findings above.</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Thyroid antibodies (TPO, Tg, TRAb) all negative — no autoimmune thyroid pattern.</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Homocysteine 8.1 µmol/L, activated B12 91.3, serum folate 19 — methylation cycle indicators adequate.</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LDL Pattern A (normal), LDL 2.8 mmol/L, mean particle size 274 Å — favourable lipoprotein profile despite mildly elevated VLDL.</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Iron status adequate — ferritin 243, transferrin saturation 32%.</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TSH 1.95 mIU/L, Free T4 14.6 pmol/L — central thyroid regulation intact.</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Amino acid profile broadly within reference — essential AAs, BCAA total 471, no catabolic pattern.</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No heavy metal above reference threshold — burden is mild.</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Cortisol OA 19.7 ug/gCR — HPA axis within reference.</w:t>
      </w:r>
    </w:p>
    <w:p>
      <w:pPr>
        <w:pBdr>
          <w:bottom w:val="single" w:color="C3AF88" w:sz="6" w:space="4"/>
        </w:pBdr>
        <w:spacing w:after="180" w:before="360"/>
      </w:pPr>
      <w:r>
        <w:rPr>
          <w:rFonts w:ascii="Roboto" w:cs="Roboto" w:eastAsia="Roboto" w:hAnsi="Roboto"/>
          <w:b/>
          <w:bCs/>
          <w:color w:val="535B50"/>
          <w:sz w:val="28"/>
          <w:szCs w:val="28"/>
        </w:rPr>
        <w:t xml:space="preserve">References</w:t>
      </w:r>
    </w:p>
    <w:p>
      <w:pPr>
        <w:spacing w:after="240"/>
      </w:pPr>
      <w:r>
        <w:rPr>
          <w:rFonts w:ascii="Roboto" w:cs="Roboto" w:eastAsia="Roboto" w:hAnsi="Roboto"/>
          <w:b w:val="false"/>
          <w:bCs w:val="false"/>
          <w:color w:val="000000"/>
          <w:sz w:val="22"/>
          <w:szCs w:val="22"/>
        </w:rPr>
        <w:t xml:space="preserve">Key published studies cited by the clinical decision support system in support of each formulation decision. Citations should be independently verified by the reviewing practitioner before clinical reliance. PMIDs and DOIs can be confirmed via PubMed (pubmed.ncbi.nlm.nih.gov).</w:t>
      </w:r>
    </w:p>
    <w:p>
      <w:pPr>
        <w:spacing w:after="120"/>
      </w:pPr>
      <w:r>
        <w:rPr>
          <w:rFonts w:ascii="Roboto" w:cs="Roboto" w:eastAsia="Roboto" w:hAnsi="Roboto"/>
          <w:b/>
          <w:bCs/>
          <w:color w:val="C3AF88"/>
          <w:sz w:val="22"/>
          <w:szCs w:val="22"/>
        </w:rPr>
        <w:t xml:space="preserve">[1]</w:t>
      </w:r>
      <w:r>
        <w:rPr>
          <w:rFonts w:ascii="Roboto" w:cs="Roboto" w:eastAsia="Roboto" w:hAnsi="Roboto"/>
          <w:color w:val="000000"/>
          <w:sz w:val="22"/>
          <w:szCs w:val="22"/>
        </w:rPr>
        <w:t xml:space="preserve">  Sahebkar A et al. (2016). Curcuminoids modify the concentration of C-reactive protein: a systematic review and meta-analysis of randomized controlled trials. Pharmacological Research.</w:t>
      </w:r>
      <w:r>
        <w:rPr>
          <w:rFonts w:ascii="Roboto" w:cs="Roboto" w:eastAsia="Roboto" w:hAnsi="Roboto"/>
          <w:i/>
          <w:iCs/>
          <w:color w:val="000000"/>
          <w:sz w:val="18"/>
          <w:szCs w:val="18"/>
        </w:rPr>
        <w:t xml:space="preserve">  (Turmeric (Curcumin))</w:t>
      </w:r>
    </w:p>
    <w:p>
      <w:pPr>
        <w:spacing w:after="120"/>
      </w:pPr>
      <w:r>
        <w:rPr>
          <w:rFonts w:ascii="Roboto" w:cs="Roboto" w:eastAsia="Roboto" w:hAnsi="Roboto"/>
          <w:b/>
          <w:bCs/>
          <w:color w:val="C3AF88"/>
          <w:sz w:val="22"/>
          <w:szCs w:val="22"/>
        </w:rPr>
        <w:t xml:space="preserve">[2]</w:t>
      </w:r>
      <w:r>
        <w:rPr>
          <w:rFonts w:ascii="Roboto" w:cs="Roboto" w:eastAsia="Roboto" w:hAnsi="Roboto"/>
          <w:color w:val="000000"/>
          <w:sz w:val="22"/>
          <w:szCs w:val="22"/>
        </w:rPr>
        <w:t xml:space="preserve">  Yu G et al. (2020). Effectiveness of Boswellia and Boswellia extract for osteoarthritis patients: a systematic review and meta-analysis. BMC Complementary Medicine and Therapies.</w:t>
      </w:r>
      <w:r>
        <w:rPr>
          <w:rFonts w:ascii="Roboto" w:cs="Roboto" w:eastAsia="Roboto" w:hAnsi="Roboto"/>
          <w:i/>
          <w:iCs/>
          <w:color w:val="000000"/>
          <w:sz w:val="18"/>
          <w:szCs w:val="18"/>
        </w:rPr>
        <w:t xml:space="preserve">  (Boswellia (Frankincense))</w:t>
      </w:r>
    </w:p>
    <w:p>
      <w:pPr>
        <w:spacing w:after="120"/>
      </w:pPr>
      <w:r>
        <w:rPr>
          <w:rFonts w:ascii="Roboto" w:cs="Roboto" w:eastAsia="Roboto" w:hAnsi="Roboto"/>
          <w:b/>
          <w:bCs/>
          <w:color w:val="C3AF88"/>
          <w:sz w:val="22"/>
          <w:szCs w:val="22"/>
        </w:rPr>
        <w:t xml:space="preserve">[3]</w:t>
      </w:r>
      <w:r>
        <w:rPr>
          <w:rFonts w:ascii="Roboto" w:cs="Roboto" w:eastAsia="Roboto" w:hAnsi="Roboto"/>
          <w:color w:val="000000"/>
          <w:sz w:val="22"/>
          <w:szCs w:val="22"/>
        </w:rPr>
        <w:t xml:space="preserve">  Mohammadi-Sartang M et al. (2017). Effects of supplementation with quercetin on plasma C-reactive protein concentrations: a systematic review and meta-analysis of randomized controlled trials. European Journal of Clinical Nutrition.</w:t>
      </w:r>
      <w:r>
        <w:rPr>
          <w:rFonts w:ascii="Roboto" w:cs="Roboto" w:eastAsia="Roboto" w:hAnsi="Roboto"/>
          <w:i/>
          <w:iCs/>
          <w:color w:val="000000"/>
          <w:sz w:val="18"/>
          <w:szCs w:val="18"/>
        </w:rPr>
        <w:t xml:space="preserve">  (Quercetin)</w:t>
      </w:r>
    </w:p>
    <w:p>
      <w:pPr>
        <w:spacing w:after="120"/>
      </w:pPr>
      <w:r>
        <w:rPr>
          <w:rFonts w:ascii="Roboto" w:cs="Roboto" w:eastAsia="Roboto" w:hAnsi="Roboto"/>
          <w:b/>
          <w:bCs/>
          <w:color w:val="C3AF88"/>
          <w:sz w:val="22"/>
          <w:szCs w:val="22"/>
        </w:rPr>
        <w:t xml:space="preserve">[4]</w:t>
      </w:r>
      <w:r>
        <w:rPr>
          <w:rFonts w:ascii="Roboto" w:cs="Roboto" w:eastAsia="Roboto" w:hAnsi="Roboto"/>
          <w:color w:val="000000"/>
          <w:sz w:val="22"/>
          <w:szCs w:val="22"/>
        </w:rPr>
        <w:t xml:space="preserve">  Koushki M et al. (2018). Effect of Resveratrol Supplementation on Inflammatory Markers: A Systematic Review and Meta-Analysis of Randomized Controlled Trials. Clinical Therapeutics.</w:t>
      </w:r>
      <w:r>
        <w:rPr>
          <w:rFonts w:ascii="Roboto" w:cs="Roboto" w:eastAsia="Roboto" w:hAnsi="Roboto"/>
          <w:i/>
          <w:iCs/>
          <w:color w:val="000000"/>
          <w:sz w:val="18"/>
          <w:szCs w:val="18"/>
        </w:rPr>
        <w:t xml:space="preserve">  (Resveratrol)</w:t>
      </w:r>
    </w:p>
    <w:p>
      <w:pPr>
        <w:spacing w:after="120"/>
      </w:pPr>
      <w:r>
        <w:rPr>
          <w:rFonts w:ascii="Roboto" w:cs="Roboto" w:eastAsia="Roboto" w:hAnsi="Roboto"/>
          <w:b/>
          <w:bCs/>
          <w:color w:val="C3AF88"/>
          <w:sz w:val="22"/>
          <w:szCs w:val="22"/>
        </w:rPr>
        <w:t xml:space="preserve">[5]</w:t>
      </w:r>
      <w:r>
        <w:rPr>
          <w:rFonts w:ascii="Roboto" w:cs="Roboto" w:eastAsia="Roboto" w:hAnsi="Roboto"/>
          <w:color w:val="000000"/>
          <w:sz w:val="22"/>
          <w:szCs w:val="22"/>
        </w:rPr>
        <w:t xml:space="preserve">  Kasperczyk S et al. (2013). The effect of N-acetylcysteine supplementation on blood lead concentration and oxidative stress in lead-exposed workers. Biological Trace Element Research.</w:t>
      </w:r>
      <w:r>
        <w:rPr>
          <w:rFonts w:ascii="Roboto" w:cs="Roboto" w:eastAsia="Roboto" w:hAnsi="Roboto"/>
          <w:i/>
          <w:iCs/>
          <w:color w:val="000000"/>
          <w:sz w:val="18"/>
          <w:szCs w:val="18"/>
        </w:rPr>
        <w:t xml:space="preserve">  (N-acetyl cysteine (NAC))</w:t>
      </w:r>
    </w:p>
    <w:p>
      <w:pPr>
        <w:spacing w:after="120"/>
      </w:pPr>
      <w:r>
        <w:rPr>
          <w:rFonts w:ascii="Roboto" w:cs="Roboto" w:eastAsia="Roboto" w:hAnsi="Roboto"/>
          <w:b/>
          <w:bCs/>
          <w:color w:val="C3AF88"/>
          <w:sz w:val="22"/>
          <w:szCs w:val="22"/>
        </w:rPr>
        <w:t xml:space="preserve">[6]</w:t>
      </w:r>
      <w:r>
        <w:rPr>
          <w:rFonts w:ascii="Roboto" w:cs="Roboto" w:eastAsia="Roboto" w:hAnsi="Roboto"/>
          <w:color w:val="000000"/>
          <w:sz w:val="22"/>
          <w:szCs w:val="22"/>
        </w:rPr>
        <w:t xml:space="preserve">  Richie JP et al. (2015). Randomized controlled trial of oral glutathione supplementation on body stores of glutathione. European Journal of Nutrition.</w:t>
      </w:r>
      <w:r>
        <w:rPr>
          <w:rFonts w:ascii="Roboto" w:cs="Roboto" w:eastAsia="Roboto" w:hAnsi="Roboto"/>
          <w:i/>
          <w:iCs/>
          <w:color w:val="000000"/>
          <w:sz w:val="18"/>
          <w:szCs w:val="18"/>
        </w:rPr>
        <w:t xml:space="preserve">  (Glutathione (S-acetyl))</w:t>
      </w:r>
    </w:p>
    <w:p>
      <w:pPr>
        <w:spacing w:after="120"/>
      </w:pPr>
      <w:r>
        <w:rPr>
          <w:rFonts w:ascii="Roboto" w:cs="Roboto" w:eastAsia="Roboto" w:hAnsi="Roboto"/>
          <w:b/>
          <w:bCs/>
          <w:color w:val="C3AF88"/>
          <w:sz w:val="22"/>
          <w:szCs w:val="22"/>
        </w:rPr>
        <w:t xml:space="preserve">[7]</w:t>
      </w:r>
      <w:r>
        <w:rPr>
          <w:rFonts w:ascii="Roboto" w:cs="Roboto" w:eastAsia="Roboto" w:hAnsi="Roboto"/>
          <w:color w:val="000000"/>
          <w:sz w:val="22"/>
          <w:szCs w:val="22"/>
        </w:rPr>
        <w:t xml:space="preserve">  Akbari M et al. (2018). The effects of alpha-lipoic acid supplementation on glucose control and lipid profiles among patients with metabolic diseases: A systematic review and meta-analysis of randomized controlled trials. Metabolism.</w:t>
      </w:r>
      <w:r>
        <w:rPr>
          <w:rFonts w:ascii="Roboto" w:cs="Roboto" w:eastAsia="Roboto" w:hAnsi="Roboto"/>
          <w:i/>
          <w:iCs/>
          <w:color w:val="000000"/>
          <w:sz w:val="18"/>
          <w:szCs w:val="18"/>
        </w:rPr>
        <w:t xml:space="preserve">  (Alpha-lipoic acid)</w:t>
      </w:r>
    </w:p>
    <w:p>
      <w:pPr>
        <w:spacing w:after="120"/>
      </w:pPr>
      <w:r>
        <w:rPr>
          <w:rFonts w:ascii="Roboto" w:cs="Roboto" w:eastAsia="Roboto" w:hAnsi="Roboto"/>
          <w:b/>
          <w:bCs/>
          <w:color w:val="C3AF88"/>
          <w:sz w:val="22"/>
          <w:szCs w:val="22"/>
        </w:rPr>
        <w:t xml:space="preserve">[8]</w:t>
      </w:r>
      <w:r>
        <w:rPr>
          <w:rFonts w:ascii="Roboto" w:cs="Roboto" w:eastAsia="Roboto" w:hAnsi="Roboto"/>
          <w:color w:val="000000"/>
          <w:sz w:val="22"/>
          <w:szCs w:val="22"/>
        </w:rPr>
        <w:t xml:space="preserve">  Gholami M et al. (2017). The effect of silymarin on blood lead levels in lead-exposed workers: a randomized controlled trial. Journal of Trace Elements in Medicine and Biology.</w:t>
      </w:r>
      <w:r>
        <w:rPr>
          <w:rFonts w:ascii="Roboto" w:cs="Roboto" w:eastAsia="Roboto" w:hAnsi="Roboto"/>
          <w:i/>
          <w:iCs/>
          <w:color w:val="000000"/>
          <w:sz w:val="18"/>
          <w:szCs w:val="18"/>
        </w:rPr>
        <w:t xml:space="preserve">  (Milk thistle (Silymarin))</w:t>
      </w:r>
    </w:p>
    <w:p>
      <w:pPr>
        <w:spacing w:after="120"/>
      </w:pPr>
      <w:r>
        <w:rPr>
          <w:rFonts w:ascii="Roboto" w:cs="Roboto" w:eastAsia="Roboto" w:hAnsi="Roboto"/>
          <w:b/>
          <w:bCs/>
          <w:color w:val="C3AF88"/>
          <w:sz w:val="22"/>
          <w:szCs w:val="22"/>
        </w:rPr>
        <w:t xml:space="preserve">[9]</w:t>
      </w:r>
      <w:r>
        <w:rPr>
          <w:rFonts w:ascii="Roboto" w:cs="Roboto" w:eastAsia="Roboto" w:hAnsi="Roboto"/>
          <w:color w:val="000000"/>
          <w:sz w:val="22"/>
          <w:szCs w:val="22"/>
        </w:rPr>
        <w:t xml:space="preserve">  Walaszek Z et al. (1997). D-Glucaric acid content of various fruits and vegetables and cholesterol-lowering effects of dietary D-glucarate in the rat. Nutrition Research.</w:t>
      </w:r>
      <w:r>
        <w:rPr>
          <w:rFonts w:ascii="Roboto" w:cs="Roboto" w:eastAsia="Roboto" w:hAnsi="Roboto"/>
          <w:i/>
          <w:iCs/>
          <w:color w:val="000000"/>
          <w:sz w:val="18"/>
          <w:szCs w:val="18"/>
        </w:rPr>
        <w:t xml:space="preserve">  (Calcium D-glucarate)</w:t>
      </w:r>
    </w:p>
    <w:p>
      <w:pPr>
        <w:spacing w:after="120"/>
      </w:pPr>
      <w:r>
        <w:rPr>
          <w:rFonts w:ascii="Roboto" w:cs="Roboto" w:eastAsia="Roboto" w:hAnsi="Roboto"/>
          <w:b/>
          <w:bCs/>
          <w:color w:val="C3AF88"/>
          <w:sz w:val="22"/>
          <w:szCs w:val="22"/>
        </w:rPr>
        <w:t xml:space="preserve">[10]</w:t>
      </w:r>
      <w:r>
        <w:rPr>
          <w:rFonts w:ascii="Roboto" w:cs="Roboto" w:eastAsia="Roboto" w:hAnsi="Roboto"/>
          <w:color w:val="000000"/>
          <w:sz w:val="22"/>
          <w:szCs w:val="22"/>
        </w:rPr>
        <w:t xml:space="preserve">  Mantle D &amp; Hargreaves IP (2019). Coenzyme Q10 and Degenerative Disorders Affecting Longevity: An Overview. Antioxidants.</w:t>
      </w:r>
      <w:r>
        <w:rPr>
          <w:rFonts w:ascii="Roboto" w:cs="Roboto" w:eastAsia="Roboto" w:hAnsi="Roboto"/>
          <w:i/>
          <w:iCs/>
          <w:color w:val="000000"/>
          <w:sz w:val="18"/>
          <w:szCs w:val="18"/>
        </w:rPr>
        <w:t xml:space="preserve">  (Coenzyme Q10)</w:t>
      </w:r>
    </w:p>
    <w:p>
      <w:pPr>
        <w:spacing w:after="120"/>
      </w:pPr>
      <w:r>
        <w:rPr>
          <w:rFonts w:ascii="Roboto" w:cs="Roboto" w:eastAsia="Roboto" w:hAnsi="Roboto"/>
          <w:b/>
          <w:bCs/>
          <w:color w:val="C3AF88"/>
          <w:sz w:val="22"/>
          <w:szCs w:val="22"/>
        </w:rPr>
        <w:t xml:space="preserve">[11]</w:t>
      </w:r>
      <w:r>
        <w:rPr>
          <w:rFonts w:ascii="Roboto" w:cs="Roboto" w:eastAsia="Roboto" w:hAnsi="Roboto"/>
          <w:color w:val="000000"/>
          <w:sz w:val="22"/>
          <w:szCs w:val="22"/>
        </w:rPr>
        <w:t xml:space="preserve">  Mollace V et al. (2011). Hypolipemic and hypoglycaemic activity of bergamot polyphenols: from animal models to human studies. Fitoterapia.</w:t>
      </w:r>
      <w:r>
        <w:rPr>
          <w:rFonts w:ascii="Roboto" w:cs="Roboto" w:eastAsia="Roboto" w:hAnsi="Roboto"/>
          <w:i/>
          <w:iCs/>
          <w:color w:val="000000"/>
          <w:sz w:val="18"/>
          <w:szCs w:val="18"/>
        </w:rPr>
        <w:t xml:space="preserve">  (Bergamot)</w:t>
      </w:r>
    </w:p>
    <w:p>
      <w:pPr>
        <w:spacing w:after="120"/>
      </w:pPr>
      <w:r>
        <w:rPr>
          <w:rFonts w:ascii="Roboto" w:cs="Roboto" w:eastAsia="Roboto" w:hAnsi="Roboto"/>
          <w:b/>
          <w:bCs/>
          <w:color w:val="C3AF88"/>
          <w:sz w:val="22"/>
          <w:szCs w:val="22"/>
        </w:rPr>
        <w:t xml:space="preserve">[12]</w:t>
      </w:r>
      <w:r>
        <w:rPr>
          <w:rFonts w:ascii="Roboto" w:cs="Roboto" w:eastAsia="Roboto" w:hAnsi="Roboto"/>
          <w:color w:val="000000"/>
          <w:sz w:val="22"/>
          <w:szCs w:val="22"/>
        </w:rPr>
        <w:t xml:space="preserve">  Sharma AK et al. (2018). Efficacy and Safety of Ashwagandha Root Extract in Subclinical Hypothyroid Patients: A Double-Blind, Randomized Placebo-Controlled Trial. Journal of Alternative and Complementary Medicine.</w:t>
      </w:r>
      <w:r>
        <w:rPr>
          <w:rFonts w:ascii="Roboto" w:cs="Roboto" w:eastAsia="Roboto" w:hAnsi="Roboto"/>
          <w:i/>
          <w:iCs/>
          <w:color w:val="000000"/>
          <w:sz w:val="18"/>
          <w:szCs w:val="18"/>
        </w:rPr>
        <w:t xml:space="preserve">  (Ashwagandha)</w:t>
      </w:r>
    </w:p>
    <w:p>
      <w:pPr>
        <w:spacing w:after="120"/>
      </w:pPr>
      <w:r>
        <w:rPr>
          <w:rFonts w:ascii="Roboto" w:cs="Roboto" w:eastAsia="Roboto" w:hAnsi="Roboto"/>
          <w:b/>
          <w:bCs/>
          <w:color w:val="C3AF88"/>
          <w:sz w:val="22"/>
          <w:szCs w:val="22"/>
        </w:rPr>
        <w:t xml:space="preserve">[13]</w:t>
      </w:r>
      <w:r>
        <w:rPr>
          <w:rFonts w:ascii="Roboto" w:cs="Roboto" w:eastAsia="Roboto" w:hAnsi="Roboto"/>
          <w:color w:val="000000"/>
          <w:sz w:val="22"/>
          <w:szCs w:val="22"/>
        </w:rPr>
        <w:t xml:space="preserve">  Panossian A et al. (2010). Rosenroot (Rhodiola rosea): Traditional use, chemical composition, pharmacology and clinical efficacy. Phytomedicine.</w:t>
      </w:r>
      <w:r>
        <w:rPr>
          <w:rFonts w:ascii="Roboto" w:cs="Roboto" w:eastAsia="Roboto" w:hAnsi="Roboto"/>
          <w:i/>
          <w:iCs/>
          <w:color w:val="000000"/>
          <w:sz w:val="18"/>
          <w:szCs w:val="18"/>
        </w:rPr>
        <w:t xml:space="preserve">  (Rhodiola)</w:t>
      </w:r>
    </w:p>
    <w:p>
      <w:pPr>
        <w:spacing w:after="120"/>
      </w:pPr>
      <w:r>
        <w:rPr>
          <w:rFonts w:ascii="Roboto" w:cs="Roboto" w:eastAsia="Roboto" w:hAnsi="Roboto"/>
          <w:b/>
          <w:bCs/>
          <w:color w:val="C3AF88"/>
          <w:sz w:val="22"/>
          <w:szCs w:val="22"/>
        </w:rPr>
        <w:t xml:space="preserve">[14]</w:t>
      </w:r>
      <w:r>
        <w:rPr>
          <w:rFonts w:ascii="Roboto" w:cs="Roboto" w:eastAsia="Roboto" w:hAnsi="Roboto"/>
          <w:color w:val="000000"/>
          <w:sz w:val="22"/>
          <w:szCs w:val="22"/>
        </w:rPr>
        <w:t xml:space="preserve">  Zimmermann MB (2009). Iodine deficiency. Endocrine Reviews.</w:t>
      </w:r>
      <w:r>
        <w:rPr>
          <w:rFonts w:ascii="Roboto" w:cs="Roboto" w:eastAsia="Roboto" w:hAnsi="Roboto"/>
          <w:i/>
          <w:iCs/>
          <w:color w:val="000000"/>
          <w:sz w:val="18"/>
          <w:szCs w:val="18"/>
        </w:rPr>
        <w:t xml:space="preserve">  (Potassium iodide (iodine))</w:t>
      </w:r>
    </w:p>
    <w:p>
      <w:pPr>
        <w:spacing w:after="120"/>
      </w:pPr>
      <w:r>
        <w:rPr>
          <w:rFonts w:ascii="Roboto" w:cs="Roboto" w:eastAsia="Roboto" w:hAnsi="Roboto"/>
          <w:b/>
          <w:bCs/>
          <w:color w:val="C3AF88"/>
          <w:sz w:val="22"/>
          <w:szCs w:val="22"/>
        </w:rPr>
        <w:t xml:space="preserve">[15]</w:t>
      </w:r>
      <w:r>
        <w:rPr>
          <w:rFonts w:ascii="Roboto" w:cs="Roboto" w:eastAsia="Roboto" w:hAnsi="Roboto"/>
          <w:color w:val="000000"/>
          <w:sz w:val="22"/>
          <w:szCs w:val="22"/>
        </w:rPr>
        <w:t xml:space="preserve">  Mahmoodianfard S et al. (2015). Effects of Zinc and Selenium Supplementation on Thyroid Function in Overweight and Obese Hypothyroid Female Patients: A Randomized Double-Blind Controlled Trial. Journal of the American College of Nutrition.</w:t>
      </w:r>
      <w:r>
        <w:rPr>
          <w:rFonts w:ascii="Roboto" w:cs="Roboto" w:eastAsia="Roboto" w:hAnsi="Roboto"/>
          <w:i/>
          <w:iCs/>
          <w:color w:val="000000"/>
          <w:sz w:val="18"/>
          <w:szCs w:val="18"/>
        </w:rPr>
        <w:t xml:space="preserve">  (Zinc citrate)</w:t>
      </w:r>
    </w:p>
    <w:p>
      <w:pPr>
        <w:spacing w:after="120"/>
      </w:pPr>
      <w:r>
        <w:rPr>
          <w:rFonts w:ascii="Roboto" w:cs="Roboto" w:eastAsia="Roboto" w:hAnsi="Roboto"/>
          <w:b/>
          <w:bCs/>
          <w:color w:val="C3AF88"/>
          <w:sz w:val="22"/>
          <w:szCs w:val="22"/>
        </w:rPr>
        <w:t xml:space="preserve">[16]</w:t>
      </w:r>
      <w:r>
        <w:rPr>
          <w:rFonts w:ascii="Roboto" w:cs="Roboto" w:eastAsia="Roboto" w:hAnsi="Roboto"/>
          <w:color w:val="000000"/>
          <w:sz w:val="22"/>
          <w:szCs w:val="22"/>
        </w:rPr>
        <w:t xml:space="preserve">  Schuchardt JP &amp; Hahn A (2017). Intestinal Absorption and Factors Influencing Bioavailability of Magnesium – An Update. Current Nutrition and Food Science.</w:t>
      </w:r>
      <w:r>
        <w:rPr>
          <w:rFonts w:ascii="Roboto" w:cs="Roboto" w:eastAsia="Roboto" w:hAnsi="Roboto"/>
          <w:i/>
          <w:iCs/>
          <w:color w:val="000000"/>
          <w:sz w:val="18"/>
          <w:szCs w:val="18"/>
        </w:rPr>
        <w:t xml:space="preserve">  (Magnesium glycinate)</w:t>
      </w:r>
    </w:p>
    <w:p>
      <w:pPr>
        <w:spacing w:after="120"/>
      </w:pPr>
      <w:r>
        <w:rPr>
          <w:rFonts w:ascii="Roboto" w:cs="Roboto" w:eastAsia="Roboto" w:hAnsi="Roboto"/>
          <w:b/>
          <w:bCs/>
          <w:color w:val="C3AF88"/>
          <w:sz w:val="22"/>
          <w:szCs w:val="22"/>
        </w:rPr>
        <w:t xml:space="preserve">[17]</w:t>
      </w:r>
      <w:r>
        <w:rPr>
          <w:rFonts w:ascii="Roboto" w:cs="Roboto" w:eastAsia="Roboto" w:hAnsi="Roboto"/>
          <w:color w:val="000000"/>
          <w:sz w:val="22"/>
          <w:szCs w:val="22"/>
        </w:rPr>
        <w:t xml:space="preserve">  Ueland PM et al. (2015). Direct and Functional Biomarkers of Vitamin B6 Status. Annual Review of Nutrition.</w:t>
      </w:r>
      <w:r>
        <w:rPr>
          <w:rFonts w:ascii="Roboto" w:cs="Roboto" w:eastAsia="Roboto" w:hAnsi="Roboto"/>
          <w:i/>
          <w:iCs/>
          <w:color w:val="000000"/>
          <w:sz w:val="18"/>
          <w:szCs w:val="18"/>
        </w:rPr>
        <w:t xml:space="preserve">  (Vitamin B6 (P5P))</w:t>
      </w:r>
    </w:p>
    <w:p>
      <w:pPr>
        <w:spacing w:after="120"/>
      </w:pPr>
      <w:r>
        <w:rPr>
          <w:rFonts w:ascii="Roboto" w:cs="Roboto" w:eastAsia="Roboto" w:hAnsi="Roboto"/>
          <w:b/>
          <w:bCs/>
          <w:color w:val="C3AF88"/>
          <w:sz w:val="22"/>
          <w:szCs w:val="22"/>
        </w:rPr>
        <w:t xml:space="preserve">[18]</w:t>
      </w:r>
      <w:r>
        <w:rPr>
          <w:rFonts w:ascii="Roboto" w:cs="Roboto" w:eastAsia="Roboto" w:hAnsi="Roboto"/>
          <w:color w:val="000000"/>
          <w:sz w:val="22"/>
          <w:szCs w:val="22"/>
        </w:rPr>
        <w:t xml:space="preserve">  Powers HJ (2003). Riboflavin (vitamin B-2) and health. American Journal of Clinical Nutrition.</w:t>
      </w:r>
      <w:r>
        <w:rPr>
          <w:rFonts w:ascii="Roboto" w:cs="Roboto" w:eastAsia="Roboto" w:hAnsi="Roboto"/>
          <w:i/>
          <w:iCs/>
          <w:color w:val="000000"/>
          <w:sz w:val="18"/>
          <w:szCs w:val="18"/>
        </w:rPr>
        <w:t xml:space="preserve">  (Riboflavin (Vitamin B2))</w:t>
      </w:r>
    </w:p>
    <w:p>
      <w:pPr>
        <w:spacing w:after="120"/>
      </w:pPr>
      <w:r>
        <w:rPr>
          <w:rFonts w:ascii="Roboto" w:cs="Roboto" w:eastAsia="Roboto" w:hAnsi="Roboto"/>
          <w:b/>
          <w:bCs/>
          <w:color w:val="C3AF88"/>
          <w:sz w:val="22"/>
          <w:szCs w:val="22"/>
        </w:rPr>
        <w:t xml:space="preserve">[19]</w:t>
      </w:r>
      <w:r>
        <w:rPr>
          <w:rFonts w:ascii="Roboto" w:cs="Roboto" w:eastAsia="Roboto" w:hAnsi="Roboto"/>
          <w:color w:val="000000"/>
          <w:sz w:val="22"/>
          <w:szCs w:val="22"/>
        </w:rPr>
        <w:t xml:space="preserve">  Trammell SAJ et al. (2016). Nicotinamide riboside is uniquely and orally bioavailable in mice and humans. Nature Communications.</w:t>
      </w:r>
      <w:r>
        <w:rPr>
          <w:rFonts w:ascii="Roboto" w:cs="Roboto" w:eastAsia="Roboto" w:hAnsi="Roboto"/>
          <w:i/>
          <w:iCs/>
          <w:color w:val="000000"/>
          <w:sz w:val="18"/>
          <w:szCs w:val="18"/>
        </w:rPr>
        <w:t xml:space="preserve">  (Nicotinamide (Vitamin B3))</w:t>
      </w:r>
    </w:p>
    <w:p>
      <w:pPr>
        <w:spacing w:after="120"/>
      </w:pPr>
      <w:r>
        <w:rPr>
          <w:rFonts w:ascii="Roboto" w:cs="Roboto" w:eastAsia="Roboto" w:hAnsi="Roboto"/>
          <w:b/>
          <w:bCs/>
          <w:color w:val="C3AF88"/>
          <w:sz w:val="22"/>
          <w:szCs w:val="22"/>
        </w:rPr>
        <w:t xml:space="preserve">[20]</w:t>
      </w:r>
      <w:r>
        <w:rPr>
          <w:rFonts w:ascii="Roboto" w:cs="Roboto" w:eastAsia="Roboto" w:hAnsi="Roboto"/>
          <w:color w:val="000000"/>
          <w:sz w:val="22"/>
          <w:szCs w:val="22"/>
        </w:rPr>
        <w:t xml:space="preserve">  Miller JW &amp; Rucker RB (2020). Pantothenic Acid. In: Present Knowledge in Nutrition, 11th edition. Academic Press.</w:t>
      </w:r>
      <w:r>
        <w:rPr>
          <w:rFonts w:ascii="Roboto" w:cs="Roboto" w:eastAsia="Roboto" w:hAnsi="Roboto"/>
          <w:i/>
          <w:iCs/>
          <w:color w:val="000000"/>
          <w:sz w:val="18"/>
          <w:szCs w:val="18"/>
        </w:rPr>
        <w:t xml:space="preserve">  (Pantothenic acid (Vitamin B5))</w:t>
      </w:r>
    </w:p>
    <w:p>
      <w:pPr>
        <w:spacing w:after="120"/>
      </w:pPr>
      <w:r>
        <w:rPr>
          <w:rFonts w:ascii="Roboto" w:cs="Roboto" w:eastAsia="Roboto" w:hAnsi="Roboto"/>
          <w:b/>
          <w:bCs/>
          <w:color w:val="C3AF88"/>
          <w:sz w:val="22"/>
          <w:szCs w:val="22"/>
        </w:rPr>
        <w:t xml:space="preserve">[21]</w:t>
      </w:r>
      <w:r>
        <w:rPr>
          <w:rFonts w:ascii="Roboto" w:cs="Roboto" w:eastAsia="Roboto" w:hAnsi="Roboto"/>
          <w:color w:val="000000"/>
          <w:sz w:val="22"/>
          <w:szCs w:val="22"/>
        </w:rPr>
        <w:t xml:space="preserve">  Whitfield KC et al. (2018). Thiamine deficiency disorders: diagnosis, prevalence, and a roadmap for global control programs. Annals of the New York Academy of Sciences.</w:t>
      </w:r>
      <w:r>
        <w:rPr>
          <w:rFonts w:ascii="Roboto" w:cs="Roboto" w:eastAsia="Roboto" w:hAnsi="Roboto"/>
          <w:i/>
          <w:iCs/>
          <w:color w:val="000000"/>
          <w:sz w:val="18"/>
          <w:szCs w:val="18"/>
        </w:rPr>
        <w:t xml:space="preserve">  (Thiamine (Vitamin B1))</w:t>
      </w:r>
    </w:p>
    <w:p>
      <w:pPr>
        <w:spacing w:after="120"/>
      </w:pPr>
      <w:r>
        <w:rPr>
          <w:rFonts w:ascii="Roboto" w:cs="Roboto" w:eastAsia="Roboto" w:hAnsi="Roboto"/>
          <w:b/>
          <w:bCs/>
          <w:color w:val="C3AF88"/>
          <w:sz w:val="22"/>
          <w:szCs w:val="22"/>
        </w:rPr>
        <w:t xml:space="preserve">[22]</w:t>
      </w:r>
      <w:r>
        <w:rPr>
          <w:rFonts w:ascii="Roboto" w:cs="Roboto" w:eastAsia="Roboto" w:hAnsi="Roboto"/>
          <w:color w:val="000000"/>
          <w:sz w:val="22"/>
          <w:szCs w:val="22"/>
        </w:rPr>
        <w:t xml:space="preserve">  Homocysteine Lowering Trialists' Collaboration (2005). Dose-dependent effects of folic acid on blood concentrations of homocysteine: a meta-analysis of the randomized trials. American Journal of Clinical Nutrition.</w:t>
      </w:r>
      <w:r>
        <w:rPr>
          <w:rFonts w:ascii="Roboto" w:cs="Roboto" w:eastAsia="Roboto" w:hAnsi="Roboto"/>
          <w:i/>
          <w:iCs/>
          <w:color w:val="000000"/>
          <w:sz w:val="18"/>
          <w:szCs w:val="18"/>
        </w:rPr>
        <w:t xml:space="preserve">  (Methylcobalamin (Vitamin B12))</w:t>
      </w:r>
    </w:p>
    <w:p>
      <w:pPr>
        <w:spacing w:after="120"/>
      </w:pPr>
      <w:r>
        <w:rPr>
          <w:rFonts w:ascii="Roboto" w:cs="Roboto" w:eastAsia="Roboto" w:hAnsi="Roboto"/>
          <w:b/>
          <w:bCs/>
          <w:color w:val="C3AF88"/>
          <w:sz w:val="22"/>
          <w:szCs w:val="22"/>
        </w:rPr>
        <w:t xml:space="preserve">[23]</w:t>
      </w:r>
      <w:r>
        <w:rPr>
          <w:rFonts w:ascii="Roboto" w:cs="Roboto" w:eastAsia="Roboto" w:hAnsi="Roboto"/>
          <w:color w:val="000000"/>
          <w:sz w:val="22"/>
          <w:szCs w:val="22"/>
        </w:rPr>
        <w:t xml:space="preserve">  Wald DS et al. (2002). Homocysteine and cardiovascular disease: evidence on causality from a meta-analysis. BMJ.</w:t>
      </w:r>
      <w:r>
        <w:rPr>
          <w:rFonts w:ascii="Roboto" w:cs="Roboto" w:eastAsia="Roboto" w:hAnsi="Roboto"/>
          <w:i/>
          <w:iCs/>
          <w:color w:val="000000"/>
          <w:sz w:val="18"/>
          <w:szCs w:val="18"/>
        </w:rPr>
        <w:t xml:space="preserve">  (Calcium folinate (folate))</w:t>
      </w:r>
    </w:p>
    <w:p>
      <w:pPr>
        <w:spacing w:after="120"/>
      </w:pPr>
      <w:r>
        <w:rPr>
          <w:rFonts w:ascii="Roboto" w:cs="Roboto" w:eastAsia="Roboto" w:hAnsi="Roboto"/>
          <w:b/>
          <w:bCs/>
          <w:color w:val="C3AF88"/>
          <w:sz w:val="22"/>
          <w:szCs w:val="22"/>
        </w:rPr>
        <w:t xml:space="preserve">[24]</w:t>
      </w:r>
      <w:r>
        <w:rPr>
          <w:rFonts w:ascii="Roboto" w:cs="Roboto" w:eastAsia="Roboto" w:hAnsi="Roboto"/>
          <w:color w:val="000000"/>
          <w:sz w:val="22"/>
          <w:szCs w:val="22"/>
        </w:rPr>
        <w:t xml:space="preserve">  Carr AC &amp; Maggini S (2017). Vitamin C and Immune Function. Nutrients.</w:t>
      </w:r>
      <w:r>
        <w:rPr>
          <w:rFonts w:ascii="Roboto" w:cs="Roboto" w:eastAsia="Roboto" w:hAnsi="Roboto"/>
          <w:i/>
          <w:iCs/>
          <w:color w:val="000000"/>
          <w:sz w:val="18"/>
          <w:szCs w:val="18"/>
        </w:rPr>
        <w:t xml:space="preserve">  (Vitamin C)</w:t>
      </w:r>
    </w:p>
    <w:p>
      <w:pPr>
        <w:spacing w:after="120"/>
      </w:pPr>
      <w:r>
        <w:rPr>
          <w:rFonts w:ascii="Roboto" w:cs="Roboto" w:eastAsia="Roboto" w:hAnsi="Roboto"/>
          <w:b/>
          <w:bCs/>
          <w:color w:val="C3AF88"/>
          <w:sz w:val="22"/>
          <w:szCs w:val="22"/>
        </w:rPr>
        <w:t xml:space="preserve">[25]</w:t>
      </w:r>
      <w:r>
        <w:rPr>
          <w:rFonts w:ascii="Roboto" w:cs="Roboto" w:eastAsia="Roboto" w:hAnsi="Roboto"/>
          <w:color w:val="000000"/>
          <w:sz w:val="22"/>
          <w:szCs w:val="22"/>
        </w:rPr>
        <w:t xml:space="preserve">  Holick MF et al. (2011). Evaluation, Treatment, and Prevention of Vitamin D Deficiency: an Endocrine Society Clinical Practice Guideline. Journal of Clinical Endocrinology &amp; Metabolism.</w:t>
      </w:r>
      <w:r>
        <w:rPr>
          <w:rFonts w:ascii="Roboto" w:cs="Roboto" w:eastAsia="Roboto" w:hAnsi="Roboto"/>
          <w:i/>
          <w:iCs/>
          <w:color w:val="000000"/>
          <w:sz w:val="18"/>
          <w:szCs w:val="18"/>
        </w:rPr>
        <w:t xml:space="preserve">  (Vitamin D3 (colecalciferol))</w:t>
      </w:r>
    </w:p>
    <w:p>
      <w:pPr>
        <w:pBdr>
          <w:top w:val="single" w:color="C3AF88" w:sz="6" w:space="4"/>
        </w:pBdr>
        <w:spacing w:after="120" w:before="360"/>
      </w:pPr>
      <w:r>
        <w:rPr>
          <w:rFonts w:ascii="Roboto" w:cs="Roboto" w:eastAsia="Roboto" w:hAnsi="Roboto"/>
          <w:b/>
          <w:bCs/>
          <w:i/>
          <w:iCs/>
          <w:color w:val="000000"/>
          <w:sz w:val="18"/>
          <w:szCs w:val="18"/>
        </w:rPr>
        <w:t xml:space="preserve">Patients should not act on the contents of this document without the direct guidance of their treating practitioner.</w:t>
      </w:r>
    </w:p>
    <w:p>
      <w:pPr>
        <w:spacing w:after="60"/>
      </w:pPr>
      <w:r>
        <w:rPr>
          <w:rFonts w:ascii="Roboto" w:cs="Roboto" w:eastAsia="Roboto" w:hAnsi="Roboto"/>
          <w:i/>
          <w:iCs/>
          <w:color w:val="666666"/>
          <w:sz w:val="18"/>
          <w:szCs w:val="18"/>
        </w:rPr>
        <w:t xml:space="preserve">Submission: SUB-2026-NS-001  •  Generated: 12 Aug 2026, 4:16 pm</w:t>
      </w:r>
    </w:p>
    <w:p>
      <w:pPr>
        <w:spacing w:after="60"/>
      </w:pPr>
      <w:r>
        <w:rPr>
          <w:rFonts w:ascii="Roboto" w:cs="Roboto" w:eastAsia="Roboto" w:hAnsi="Roboto"/>
          <w:i/>
          <w:iCs/>
          <w:color w:val="666666"/>
          <w:sz w:val="18"/>
          <w:szCs w:val="18"/>
        </w:rPr>
        <w:t xml:space="preserve">Audit Reference: 129D-708F-2BF7</w:t>
      </w:r>
    </w:p>
    <w:sectPr>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Roboto" w:cs="Roboto" w:eastAsia="Roboto" w:hAnsi="Roboto"/>
        <w:color w:val="666666"/>
        <w:sz w:val="16"/>
        <w:szCs w:val="16"/>
      </w:rPr>
      <w:t xml:space="preserve">N of 1 Precision Formulation  |  SUB-2026-003  |  DRAFT — Page </w:t>
    </w:r>
    <w:r>
      <w:rPr>
        <w:rFonts w:ascii="Roboto" w:cs="Roboto" w:eastAsia="Roboto" w:hAnsi="Roboto"/>
        <w:color w:val="666666"/>
        <w:sz w:val="16"/>
        <w:szCs w:val="16"/>
      </w:rPr>
      <w:fldChar w:fldCharType="begin"/>
      <w:instrText xml:space="preserve">PAGE</w:instrText>
      <w:fldChar w:fldCharType="separate"/>
      <w:fldChar w:fldCharType="end"/>
    </w:r>
    <w:r>
      <w:rPr>
        <w:rFonts w:ascii="Roboto" w:cs="Roboto" w:eastAsia="Roboto" w:hAnsi="Roboto"/>
        <w:color w:val="666666"/>
        <w:sz w:val="16"/>
        <w:szCs w:val="16"/>
      </w:rPr>
      <w:t xml:space="preserve"> of </w:t>
    </w:r>
    <w:r>
      <w:rPr>
        <w:rFonts w:ascii="Roboto" w:cs="Roboto" w:eastAsia="Roboto" w:hAnsi="Roboto"/>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2a66d48eaf0c05f3b2f313fea30ee617ddf5b3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2026-08-12T06:46:54.138Z</dcterms:created>
  <dcterms:modified xsi:type="dcterms:W3CDTF">2026-08-12T06:46:54.138Z</dcterms:modified>
</cp:coreProperties>
</file>

<file path=docProps/custom.xml><?xml version="1.0" encoding="utf-8"?>
<Properties xmlns="http://schemas.openxmlformats.org/officeDocument/2006/custom-properties" xmlns:vt="http://schemas.openxmlformats.org/officeDocument/2006/docPropsVTypes"/>
</file>