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5143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36"/>
          <w:szCs w:val="36"/>
        </w:rPr>
        <w:t xml:space="preserve">Health Analysis</w:t>
      </w:r>
    </w:p>
    <w:p>
      <w:pPr>
        <w:spacing w:after="240"/>
      </w:pPr>
      <w:r>
        <w:rPr>
          <w:rFonts w:ascii="Roboto" w:cs="Roboto" w:eastAsia="Roboto" w:hAnsi="Roboto"/>
          <w:i/>
          <w:iCs/>
          <w:color w:val="666666"/>
          <w:sz w:val="22"/>
          <w:szCs w:val="22"/>
        </w:rPr>
        <w:t xml:space="preserve">N of 1 Precision Formulation  •  Practitioner Decision Support</w:t>
      </w:r>
    </w:p>
    <w:p>
      <w:pPr>
        <w:pBdr>
          <w:top w:val="single" w:color="8B2A2A" w:sz="6" w:space="2"/>
          <w:bottom w:val="single" w:color="8B2A2A" w:sz="6" w:space="2"/>
        </w:pBdr>
        <w:spacing w:after="240" w:before="120"/>
        <w:jc w:val="center"/>
      </w:pPr>
      <w:r>
        <w:rPr>
          <w:rFonts w:ascii="Roboto" w:cs="Roboto" w:eastAsia="Roboto" w:hAnsi="Roboto"/>
          <w:b/>
          <w:bCs/>
          <w:color w:val="8B2A2A"/>
          <w:sz w:val="22"/>
          <w:szCs w:val="22"/>
        </w:rPr>
        <w:t xml:space="preserve">DRAFT — PENDING PRACTITIONER REVIEW AND APPROVAL</w:t>
      </w:r>
    </w:p>
    <w:p>
      <w:pPr>
        <w:spacing w:after="240"/>
      </w:pPr>
      <w:r>
        <w:rPr>
          <w:rFonts w:ascii="Roboto" w:cs="Roboto" w:eastAsia="Roboto" w:hAnsi="Roboto"/>
          <w:i/>
          <w:iCs/>
          <w:color w:val="000000"/>
          <w:sz w:val="18"/>
          <w:szCs w:val="18"/>
        </w:rPr>
        <w:t xml:space="preserve">This document is decision support for a qualified healthcare practitioner. It is not a diagnosis, not a prescription, and not directed to the patient. The reviewing practitioner is the prescribing clinician of record and exercises independent clinical judgement on every recommendation contained herein.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700"/>
        <w:gridCol w:w="190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Patient Pseudonym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PT-2026-002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Age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Sex (at birth)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female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Test Type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Organic_Acids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Lab 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26114-0341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Collection Date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2026-04-02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Practitioner 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P001-NATUROPATH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Practitioner Type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naturopath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Submission 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SUB-2026-002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Generated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Bdr>
          <w:bottom w:val="single" w:color="C3AF88" w:sz="6" w:space="4"/>
        </w:pBdr>
        <w:spacing w:after="180" w:before="360"/>
      </w:pPr>
      <w:r>
        <w:rPr>
          <w:rFonts w:ascii="Roboto" w:cs="Roboto" w:eastAsia="Roboto" w:hAnsi="Roboto"/>
          <w:b/>
          <w:bCs/>
          <w:color w:val="535B50"/>
          <w:sz w:val="28"/>
          <w:szCs w:val="28"/>
        </w:rPr>
        <w:t xml:space="preserve">Section 1 — Executive Summary</w:t>
      </w:r>
    </w:p>
    <w:p>
      <w:pPr>
        <w:spacing w:after="24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Organic acids profile shows a mixed pattern consistent with xenobiotic/aromatic-solvent load, neuroinflammatory tryptophan diversion, mitochondrial/TCA inefficiency, gut-microbial aromatic metabolism, and functional B-vitamin (B6, B2) insufficiency for practitioner consideration.</w:t>
      </w:r>
    </w:p>
    <w:p>
      <w:pPr>
        <w:spacing w:after="180" w:before="240"/>
      </w:pPr>
      <w:r>
        <w:rPr>
          <w:rFonts w:ascii="Roboto" w:cs="Roboto" w:eastAsia="Roboto" w:hAnsi="Roboto"/>
          <w:b/>
          <w:bCs/>
          <w:color w:val="535B50"/>
          <w:sz w:val="24"/>
          <w:szCs w:val="24"/>
        </w:rPr>
        <w:t xml:space="preserve">Recognised clinical patterns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b/>
          <w:bCs/>
          <w:color w:val="000000"/>
          <w:sz w:val="22"/>
          <w:szCs w:val="22"/>
        </w:rPr>
        <w:t xml:space="preserve">Xenobiotic-burdened</w:t>
      </w:r>
    </w:p>
    <w:p>
      <w:pPr>
        <w:spacing w:after="120"/>
        <w:ind w:left="360"/>
      </w:pPr>
      <w:r>
        <w:rPr>
          <w:rFonts w:ascii="Roboto" w:cs="Roboto" w:eastAsia="Roboto" w:hAnsi="Roboto"/>
          <w:color w:val="666666"/>
          <w:sz w:val="20"/>
          <w:szCs w:val="20"/>
        </w:rPr>
        <w:t xml:space="preserve">Supporting findings: t,t-muconic acid 0.20 (benzene), 3-methylhippuric acid 0.34 (xylene), 4-hydroxybenzoic acid 0.64 (paraben), benzoic acid 25.00 (toluene/benzoate), furancarbonylglycine 2.90 (furan), 5-methylcytosine 68.00 (epigenetic turnover marker)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b/>
          <w:bCs/>
          <w:color w:val="000000"/>
          <w:sz w:val="22"/>
          <w:szCs w:val="22"/>
        </w:rPr>
        <w:t xml:space="preserve">Tryptophan-kynurenine inflammatory diversion</w:t>
      </w:r>
    </w:p>
    <w:p>
      <w:pPr>
        <w:spacing w:after="120"/>
        <w:ind w:left="360"/>
      </w:pPr>
      <w:r>
        <w:rPr>
          <w:rFonts w:ascii="Roboto" w:cs="Roboto" w:eastAsia="Roboto" w:hAnsi="Roboto"/>
          <w:color w:val="666666"/>
          <w:sz w:val="20"/>
          <w:szCs w:val="20"/>
        </w:rPr>
        <w:t xml:space="preserve">Supporting findings: kynurenic acid 3.10, quinolinic acid 11.80, xanthurenic acid 1.92, quinolinic/5-HIAA ratio 10.4, 5-HIAA 1.14 (lower portion of range)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b/>
          <w:bCs/>
          <w:color w:val="000000"/>
          <w:sz w:val="22"/>
          <w:szCs w:val="22"/>
        </w:rPr>
        <w:t xml:space="preserve">Mitochondrial/TCA cycle congestion</w:t>
      </w:r>
    </w:p>
    <w:p>
      <w:pPr>
        <w:spacing w:after="120"/>
        <w:ind w:left="360"/>
      </w:pPr>
      <w:r>
        <w:rPr>
          <w:rFonts w:ascii="Roboto" w:cs="Roboto" w:eastAsia="Roboto" w:hAnsi="Roboto"/>
          <w:color w:val="666666"/>
          <w:sz w:val="20"/>
          <w:szCs w:val="20"/>
        </w:rPr>
        <w:t xml:space="preserve">Supporting findings: isocitric acid 86.00, 2-oxoglutaric acid 65.00, 3-methylglutaconic acid 6.32, mevalonolactone 2.80, adipic acid 4.30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b/>
          <w:bCs/>
          <w:color w:val="000000"/>
          <w:sz w:val="22"/>
          <w:szCs w:val="22"/>
        </w:rPr>
        <w:t xml:space="preserve">Functional B-vitamin and methylation insufficiency</w:t>
      </w:r>
    </w:p>
    <w:p>
      <w:pPr>
        <w:spacing w:after="120"/>
        <w:ind w:left="360"/>
      </w:pPr>
      <w:r>
        <w:rPr>
          <w:rFonts w:ascii="Roboto" w:cs="Roboto" w:eastAsia="Roboto" w:hAnsi="Roboto"/>
          <w:color w:val="666666"/>
          <w:sz w:val="20"/>
          <w:szCs w:val="20"/>
        </w:rPr>
        <w:t xml:space="preserve">Supporting findings: xanthurenic acid 1.92 (B6), KMBA 3.20 (B6/B12/folate methylation), guanidinoacetic acid 4.80 (methyl-donor demand), 2-oxoisocaproic acid 0.88 (B-complex/lipoate)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b/>
          <w:bCs/>
          <w:color w:val="000000"/>
          <w:sz w:val="22"/>
          <w:szCs w:val="22"/>
        </w:rPr>
        <w:t xml:space="preserve">Oxidative stress with 5-LOX inflammatory activation</w:t>
      </w:r>
    </w:p>
    <w:p>
      <w:pPr>
        <w:spacing w:after="120"/>
        <w:ind w:left="360"/>
      </w:pPr>
      <w:r>
        <w:rPr>
          <w:rFonts w:ascii="Roboto" w:cs="Roboto" w:eastAsia="Roboto" w:hAnsi="Roboto"/>
          <w:color w:val="666666"/>
          <w:sz w:val="20"/>
          <w:szCs w:val="20"/>
        </w:rPr>
        <w:t xml:space="preserve">Supporting findings: 8-OHdG 3.80, leukotriene E4 195.00, quinolinic acid 11.80, 3,4-DHBA 62.00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b/>
          <w:bCs/>
          <w:color w:val="000000"/>
          <w:sz w:val="22"/>
          <w:szCs w:val="22"/>
        </w:rPr>
        <w:t xml:space="preserve">Gut microbial aromatic fermentation</w:t>
      </w:r>
    </w:p>
    <w:p>
      <w:pPr>
        <w:spacing w:after="120"/>
        <w:ind w:left="360"/>
      </w:pPr>
      <w:r>
        <w:rPr>
          <w:rFonts w:ascii="Roboto" w:cs="Roboto" w:eastAsia="Roboto" w:hAnsi="Roboto"/>
          <w:color w:val="666666"/>
          <w:sz w:val="20"/>
          <w:szCs w:val="20"/>
        </w:rPr>
        <w:t xml:space="preserve">Supporting findings: 3-HPAA 12.00, 3,4-DHBA 62.00, arabinose 42.00, furancarbonylglycine 2.90, 5-HMFA 18.50</w:t>
      </w:r>
    </w:p>
    <w:p>
      <w:pPr>
        <w:pBdr>
          <w:bottom w:val="single" w:color="C3AF88" w:sz="6" w:space="4"/>
        </w:pBdr>
        <w:spacing w:after="180" w:before="360"/>
      </w:pPr>
      <w:r>
        <w:rPr>
          <w:rFonts w:ascii="Roboto" w:cs="Roboto" w:eastAsia="Roboto" w:hAnsi="Roboto"/>
          <w:b/>
          <w:bCs/>
          <w:color w:val="535B50"/>
          <w:sz w:val="28"/>
          <w:szCs w:val="28"/>
        </w:rPr>
        <w:t xml:space="preserve">Section 2 — Detailed Biomarker Analysis</w:t>
      </w:r>
    </w:p>
    <w:p>
      <w:pPr>
        <w:spacing w:after="24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The following 28 biomarker findings are surfaced for practitioner review. Each finding includes a hedged interpretation, possible contributors per the published literature, and the relevance of the finding to the formulation strategy.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Benzoic Acid (urine)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25.00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&lt;9.30)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the laboratory's framework, suggests increased benzoate exposure (toluene/preservatives) and demand on glycine conjugation.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dietary benzoate preservatives, toluene exposure, and gut microbial benzoate production as factors that may contribute — practitioner to assess relevance.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inclusion of Phase II conjugation support (glycine — not in Library, surfaced as standalone) and antioxidant/glutathione precursors.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4-Hydroxybenzoic Acid (urine)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0.64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&lt;0.57)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the laboratory's framework, paraben exposure or aromatic compound metabolism.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paraben preservatives (personal care, cosmetics) and polyphenol metabolism as possible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xenobiotic/Phase II axis emphasis.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3,4-Dihydroxybenzoic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62.00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&lt;45.00)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reflects catecholamine turnover and gut microbial polyphenol metabolism.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oxidative dopamine degradation and gut microbial phenolic metabolism as possible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antioxidant/redox axis and gut microbial considerations.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3-Hydroxyphenylacetic Acid (3-HPAA)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12.00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&lt;10.00)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marker of aromatic amino-acid fermentation by gut bacteria (Clostridial pattern).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clostridial dysbiosis as one factor; practitioner to assess.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gastrointestinal axis consideration with antimicrobial-supportive botanicals.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Furancarbonylglycine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2.90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&lt;2.00)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reflects furan exposure and glycine-conjugation Phase II processing.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Heat-processed foods and furan-derived environmental compounds per published literature.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Reinforces Phase II conjugation support priority.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Arabinose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42.00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&lt;32.00)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may reflect gut microbial production (yeast/bacterial) or dietary intake.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yeast/fungal overgrowth and dietary sources as possible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Practitioner may wish to consider gut microbial assessment; supports gastrointestinal support consideration.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5-Hydroxymethyl-2-furoic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18.50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&lt;10.00)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primarily reflects dietary exposure to heat-processed foods and furan metabolism.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Heat-processed/caramelised carbohydrate-containing foods per published literature.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dietary discussion; reinforces detoxification support priority.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Isocitric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86.00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5.00-65.00)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reflects bottleneck at isocitrate dehydrogenase step in TCA cycle.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B3 (NAD+), magnesium, and manganese cofactor insufficiency as possible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B-vitamin and mineral cofactor repletion in mitochondrial axis.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2-Oxoglutaric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65.00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2.00-45.00)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TCA cycle congestion at alpha-ketoglutarate dehydrogenase step.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B1, B2, B3, lipoic acid, and magnesium as cofactors that may contribute when insufficient.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Strongly supports B-complex and alpha-lipoic acid consideration.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Mevalonolactone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2.80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&lt;2.00)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increased mevalonate pathway activity.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increased cholesterol/isoprenoid synthesis and inflammatory states as possible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Reinforces inflammatory-pattern context; practitioner may wish to correlate with lipid panel.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3-Methylglutaconic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6.32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&lt;5.50)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non-specific marker of mitochondrial inner membrane stress.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CoQ10, B2, carnitine, and magnesium insufficiency as common acquired contributors; rare genetic causes also documented.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CoQ10 and mitochondrial cofactor inclusion.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Adipic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4.30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&lt;3.80)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suggests inefficient mitochondrial beta-oxidation.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carnitine, B2 (riboflavin), B3, magnesium, and CoQ10 insufficiency as possible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Reinforces mitochondrial cofactor axis.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Xanthurenic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1.92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&lt;0.96)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(~2x ULN) — per laboratory framework, functional B6 insufficiency marker.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pyridoxal-5-phosphate (active B6) insufficiency as a primary contributor.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Strongly supports active B6 (P5P) inclusion.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Kynurenic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3.10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&lt;2.20)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inflammatory diversion of tryptophan down kynurenine pathway.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pro-inflammatory cytokines (IDO/TDO induction) as drivers.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anti-inflammatory and B6 axes.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Quinolinic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11.80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&lt;9.10)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neuroactive excitotoxic kynurenine metabolite.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neuroinflammation and IDO activation as drivers.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Strongly supports anti-inflammatory and antioxidant axes.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Quinolinic Acid / 5-HIAA Ratio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10.4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&lt;5.0)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disproportionate tryptophan flux to excitotoxic pathway vs serotonin.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inflammatory IDO upregulation as a key factor.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anti-inflammatory core and consideration of serotonin pathway support (5-HTP — practitioner to assess interactions).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5-Hydroxyindoleacetic Acid (5-HIAA)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1.14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&lt;4.30)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In the lower portion of the reference range — per laboratory framework, may reflect reduced serotonin synthesis/turnover in the context of inflammatory tryptophan diversion.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IDO-mediated tryptophan diversion away from serotonin as one mechanism.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Practitioner may wish to consider serotonin pathway support — flag for medication review.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2-Oxoisocaproic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0.88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&lt;0.65)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impaired leucine catabolism / BCKDH cofactor insufficiency.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B1, B2, B3, B5, and lipoic acid as BCKDH cofactors.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Reinforces B-complex and alpha-lipoic acid inclusion.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2-Oxo-4-methiolbutyric Acid (KMBA)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3.20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&lt;1.50)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(&gt;2x ULN) — per laboratory framework, impaired methionine catabolism / methylation pathway stress.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B6, B12, folate cofactor insufficiency and oxidative stress as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Strongly supports B6, B12, folate methylation support.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Phenylpyruvic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4.50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&lt;2.00)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altered phenylalanine catabolism.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BH4 (tetrahydrobiopterin), iron, and oxidative stress as factors influencing phenylalanine hydroxylation.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B-vitamin and antioxidant support; practitioner to consider further evaluation.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Homogentisic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1.30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&lt;1.00)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tyrosine catabolism intermediate.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vitamin C and antioxidant status as factors in homogentisate oxidase function.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vitamin C and antioxidant inclusion.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N-Acetylphenylalanine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6.60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&lt;5.00)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Mildly elevated — per laboratory framework, increased N-acetylation flux of phenylalanine.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increased substrate availability and microbial influence as possible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Consistent with overall aromatic amino-acid metabolic stress pattern.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Guanidinoacetic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4.80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0.50-3.00)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increased methylation demand (GAA-to-creatine step consumes SAMe).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folate, B12, and methyl donor availability as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Reinforces methylation support (folate, B12, B6).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8-Hydroxy-deoxyguanosine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3.80 umol/molCR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&lt;2.70)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marker of oxidative DNA damage.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oxidative stress, environmental toxicant exposure, and antioxidant insufficiency as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antioxidant axis (vitamin C, NAC, alpha-lipoic acid, quercetin).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Leukotriene E4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195.00 pg/mgCR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&lt;100.00)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(~2x ULN) — per laboratory framework, marker of 5-lipoxygenase pathway activation.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allergic/inflammatory states, mast cell activation, and arachidonic acid availability as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5-LOX-targeting anti-inflammatory inclusion (boswellia, quercetin).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t,t-Muconic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0.20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&lt;0.12)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biomarker of benzene exposure.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fuel vapours, tobacco smoke, and solvent exposure as primary sources.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Strongly supports xenobiotic/Phase II axis prioritisation.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3-Methylhippuric Acid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0.34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&lt;0.11)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(&gt;3x ULN) — per laboratory framework, biomarker of xylene exposure.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paints, solvents, adhesives, and fuels as xylene sources.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Strongly supports xenobiotic exposure reduction and Phase II conjugation support.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5-Methylcytosine</w:t>
      </w:r>
      <w:r>
        <w:rPr>
          <w:rFonts w:ascii="Roboto" w:cs="Roboto" w:eastAsia="Roboto" w:hAnsi="Roboto"/>
          <w:color w:val="000000"/>
          <w:sz w:val="22"/>
          <w:szCs w:val="22"/>
        </w:rPr>
        <w:t xml:space="preserve">   68.00 mmol/molCR</w:t>
      </w: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   (ref: 10.00-50.00)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Interpretation: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Elevated — per laboratory framework, reflects increased DNA methylation turnover and possibly xenobiotic-influenced epigenetic flux.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Possible contributors: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Published literature identifies oxidative stress, xenobiotic exposure, and increased cellular turnover as contributors.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Relevance to formulation: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Consistent with overall oxidative/xenobiotic burden pattern; supports methyl donor and antioxidant support.</w:t>
      </w:r>
    </w:p>
    <w:p>
      <w:pPr>
        <w:pBdr>
          <w:bottom w:val="single" w:color="C3AF88" w:sz="6" w:space="4"/>
        </w:pBdr>
        <w:spacing w:after="180" w:before="360"/>
      </w:pPr>
      <w:r>
        <w:rPr>
          <w:rFonts w:ascii="Roboto" w:cs="Roboto" w:eastAsia="Roboto" w:hAnsi="Roboto"/>
          <w:b/>
          <w:bCs/>
          <w:color w:val="535B50"/>
          <w:sz w:val="28"/>
          <w:szCs w:val="28"/>
        </w:rPr>
        <w:t xml:space="preserve">Section 3 — Diet and Lifestyle Considerations</w:t>
      </w:r>
    </w:p>
    <w:p>
      <w:pPr>
        <w:spacing w:after="24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The following considerations are surfaced for practitioner-led discussion. They sit alongside the recommended formulation rather than substituting for it.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Xenobiotic exposure reduction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Consideration: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The practitioner may wish to discuss with the patient identification and reduction of solvent exposure sources (paints, adhesives, fuels, dry-cleaning agents, tobacco smoke) given the benzene and xylene exposure markers. Ventilation, personal protective measures, and source elimination may be considered per published guidance.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Rationale: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Driven by elevated t,t-muconic acid and 3-methylhippuric acid.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Personal care and dietary preservative review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Consideration: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The practitioner may wish to discuss reducing exposure to paraben-containing personal care products and benzoate preservatives in foods.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Rationale: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Driven by elevated 4-hydroxybenzoic acid and benzoic acid.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Dietary heat-processed food intake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Consideration: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The practitioner may wish to discuss reducing intake of heavily heat-processed/caramelised foods given the 5-hydroxymethyl-2-furoic acid elevation.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Rationale: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Driven by elevated 5-HMFA per laboratory framework.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Whole-foods, anti-inflammatory dietary pattern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Consideration: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The practitioner may wish to discuss a Mediterranean-style or whole-foods anti-inflammatory dietary pattern with abundant polyphenols, cruciferous vegetables, and adequate protein, given the inflammatory and methylation findings.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Rationale: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Supports anti-inflammatory and methylation pathway findings.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Hydration and renal clearance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Consideration: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Adequate hydration may be considered to support renal clearance of xenobiotic metabolites.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Rationale: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General support for xenobiotic clearance.</w:t>
      </w:r>
    </w:p>
    <w:p>
      <w:pPr>
        <w:spacing w:after="60" w:before="120"/>
      </w:pPr>
      <w:r>
        <w:rPr>
          <w:rFonts w:ascii="Roboto" w:cs="Roboto" w:eastAsia="Roboto" w:hAnsi="Roboto"/>
          <w:b/>
          <w:bCs/>
          <w:color w:val="535B50"/>
          <w:sz w:val="22"/>
          <w:szCs w:val="22"/>
        </w:rPr>
        <w:t xml:space="preserve">Gut microbiome support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Consideration: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The practitioner may wish to discuss prebiotic fibre intake, fermented foods, and stool testing if clinically indicated, given the gut-microbial aromatic metabolite pattern (3-HPAA, 3,4-DHBA, arabinose).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535B50"/>
          <w:sz w:val="20"/>
          <w:szCs w:val="20"/>
        </w:rPr>
        <w:t xml:space="preserve">Rationale: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Driven by gut microbial aromatic metabolite elevations.</w:t>
      </w:r>
    </w:p>
    <w:p>
      <w:pPr>
        <w:pBdr>
          <w:bottom w:val="single" w:color="C3AF88" w:sz="6" w:space="4"/>
        </w:pBdr>
        <w:spacing w:after="180" w:before="360"/>
      </w:pPr>
      <w:r>
        <w:rPr>
          <w:rFonts w:ascii="Roboto" w:cs="Roboto" w:eastAsia="Roboto" w:hAnsi="Roboto"/>
          <w:b/>
          <w:bCs/>
          <w:color w:val="535B50"/>
          <w:sz w:val="28"/>
          <w:szCs w:val="28"/>
        </w:rPr>
        <w:t xml:space="preserve">Section 4 — Recommended Formulation Logic</w:t>
      </w:r>
    </w:p>
    <w:p>
      <w:pPr>
        <w:spacing w:after="180" w:before="240"/>
      </w:pPr>
      <w:r>
        <w:rPr>
          <w:rFonts w:ascii="Roboto" w:cs="Roboto" w:eastAsia="Roboto" w:hAnsi="Roboto"/>
          <w:b/>
          <w:bCs/>
          <w:color w:val="535B50"/>
          <w:sz w:val="24"/>
          <w:szCs w:val="24"/>
        </w:rPr>
        <w:t xml:space="preserve">Overall strategy</w:t>
      </w:r>
    </w:p>
    <w:p>
      <w:pPr>
        <w:spacing w:after="12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Multi-axis formulation prioritising (1) Phase II / antioxidant / xenobiotic support given the strong xenobiotic-burdened pattern, (2) anti-inflammatory core targeting both NF-κB and 5-LOX given quinolinic acid and leukotriene E4 elevations, (3) B-vitamins / methylation given functional B6 insufficiency (xanthurenic, KMBA) and methylation demand (GAA), (4) mitochondrial cofactor repletion (CoQ10, B-complex, alpha-lipoic acid) for TCA congestion, (5) minerals (Mg, Mn) and vitamin C / D3 as catalyst layer. First-pass running total was estimated at ~620–660 granules — within target landing zone without invoking catalyst-layer pattern. Glycine (canonical conjugator for benzoate/xylene metabolites) is not in the Library and is surfaced as a standalone recommendation. 5-HTP is held back for practitioner discussion given serotonergic-medication risk and absence of medication information in the submission.</w:t>
      </w:r>
    </w:p>
    <w:p>
      <w:pPr>
        <w:spacing w:after="180" w:before="240"/>
      </w:pPr>
      <w:r>
        <w:rPr>
          <w:rFonts w:ascii="Roboto" w:cs="Roboto" w:eastAsia="Roboto" w:hAnsi="Roboto"/>
          <w:b/>
          <w:bCs/>
          <w:color w:val="535B50"/>
          <w:sz w:val="24"/>
          <w:szCs w:val="24"/>
        </w:rPr>
        <w:t xml:space="preserve">What was intentionally included, and why</w:t>
      </w:r>
    </w:p>
    <w:p>
      <w:pPr>
        <w:spacing w:after="12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default"/>
      </w:r>
    </w:p>
    <w:p>
      <w:pPr>
        <w:spacing w:after="180" w:before="240"/>
      </w:pPr>
      <w:r>
        <w:rPr>
          <w:rFonts w:ascii="Roboto" w:cs="Roboto" w:eastAsia="Roboto" w:hAnsi="Roboto"/>
          <w:b/>
          <w:bCs/>
          <w:color w:val="535B50"/>
          <w:sz w:val="24"/>
          <w:szCs w:val="24"/>
        </w:rPr>
        <w:t xml:space="preserve">What was intentionally excluded, and why</w:t>
      </w:r>
    </w:p>
    <w:p>
      <w:pPr>
        <w:spacing w:after="12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default"/>
      </w:r>
    </w:p>
    <w:p>
      <w:pPr>
        <w:spacing w:after="24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The detailed ingredient-by-ingredient formulation, including doses, granule counts, and per-ingredient rationale, is in the companion Recommended Formulation Schedule (.xlsx).</w:t>
      </w:r>
    </w:p>
    <w:p>
      <w:pPr>
        <w:pBdr>
          <w:bottom w:val="single" w:color="C3AF88" w:sz="6" w:space="4"/>
        </w:pBdr>
        <w:spacing w:after="180" w:before="360"/>
      </w:pPr>
      <w:r>
        <w:rPr>
          <w:rFonts w:ascii="Roboto" w:cs="Roboto" w:eastAsia="Roboto" w:hAnsi="Roboto"/>
          <w:b/>
          <w:bCs/>
          <w:color w:val="535B50"/>
          <w:sz w:val="28"/>
          <w:szCs w:val="28"/>
        </w:rPr>
        <w:t xml:space="preserve">Section 5 — Contraindication and Interaction Considerations</w:t>
      </w:r>
    </w:p>
    <w:p>
      <w:pPr>
        <w:spacing w:after="180" w:before="240"/>
      </w:pPr>
      <w:r>
        <w:rPr>
          <w:rFonts w:ascii="Roboto" w:cs="Roboto" w:eastAsia="Roboto" w:hAnsi="Roboto"/>
          <w:b/>
          <w:bCs/>
          <w:color w:val="535B50"/>
          <w:sz w:val="24"/>
          <w:szCs w:val="24"/>
        </w:rPr>
        <w:t xml:space="preserve">Contraindication flags</w:t>
      </w:r>
    </w:p>
    <w:p>
      <w:pPr>
        <w:spacing w:after="12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4 contraindication or interaction consideration(s) raised for practitioner review.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1985"/>
        <w:gridCol w:w="4151"/>
        <w:gridCol w:w="1624"/>
      </w:tblGrid>
      <w:tr>
        <w:trPr>
          <w:tblHeader/>
        </w:trPr>
        <w:tc>
          <w:tcPr>
            <w:tcW w:type="dxa" w:w="1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Severity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Flag</w:t>
            </w:r>
          </w:p>
        </w:tc>
        <w:tc>
          <w:tcPr>
            <w:tcW w:type="dxa" w:w="4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535B50"/>
                <w:sz w:val="20"/>
                <w:szCs w:val="20"/>
              </w:rPr>
              <w:t xml:space="preserve">Affected Ingredient(s)</w:t>
            </w:r>
          </w:p>
        </w:tc>
      </w:tr>
      <w:tr>
        <w:tc>
          <w:tcPr>
            <w:tcW w:type="dxa" w:w="1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no_medication_list_provided</w:t>
            </w:r>
          </w:p>
        </w:tc>
        <w:tc>
          <w:tcPr>
            <w:tcW w:type="dxa" w:w="4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Practitioner clinical notes did not list current medications. Standard contraindication checks were therefore run against the formulation alone. The practitioner should verify before dispensing: NAC with anticoagulants (bleeding risk), curcumin with anticoagulants (bleeding risk), CoQ10 with warfarin (efficacy interaction), alpha-lipoic acid with glucose-lowering medications (additive hypoglycaemia), magnesium with antibiotics/bisphosphonates (chelation, spaced dosing), and any future 5-HTP consideration with serotonergic medications (serotonin syndrome).</w:t>
            </w:r>
          </w:p>
        </w:tc>
        <w:tc>
          <w:tcPr>
            <w:tcW w:type="dxa" w:w="1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N-acetyl cysteine (NAC), Turmeric (Curcumin), Coenzyme Q10, R,S-alpha lipoic acid, Magnesium glycinate, 5-HTP</w:t>
            </w:r>
          </w:p>
        </w:tc>
      </w:tr>
      <w:tr>
        <w:tc>
          <w:tcPr>
            <w:tcW w:type="dxa" w:w="1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monitor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vitamin_B6_peripheral_neuropathy_monitoring</w:t>
            </w:r>
          </w:p>
        </w:tc>
        <w:tc>
          <w:tcPr>
            <w:tcW w:type="dxa" w:w="4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P5P proposed at 20 mg (well below the 50 mg Library cap). Practitioner to advise the patient to report any tingling/numbness; TGA warning applies above 10 mg pyridoxine equivalent daily.</w:t>
            </w:r>
          </w:p>
        </w:tc>
        <w:tc>
          <w:tcPr>
            <w:tcW w:type="dxa" w:w="1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Vitamin B6 (P5P)</w:t>
            </w:r>
          </w:p>
        </w:tc>
      </w:tr>
      <w:tr>
        <w:tc>
          <w:tcPr>
            <w:tcW w:type="dxa" w:w="1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not_applicable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long_term_zinc_copper_ratio_not_applicable</w:t>
            </w:r>
          </w:p>
        </w:tc>
        <w:tc>
          <w:tcPr>
            <w:tcW w:type="dxa" w:w="4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No zinc included in this formulation; copper:zinc balance check not applicable.</w:t>
            </w:r>
          </w:p>
        </w:tc>
        <w:tc>
          <w:tcPr>
            <w:tcW w:type="dxa" w:w="1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/>
                <w:bCs/>
                <w:color w:val="666666"/>
                <w:sz w:val="20"/>
                <w:szCs w:val="20"/>
              </w:rPr>
              <w:t xml:space="preserve">not_applicable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iodine_thyroid_check_not_applicable</w:t>
            </w:r>
          </w:p>
        </w:tc>
        <w:tc>
          <w:tcPr>
            <w:tcW w:type="dxa" w:w="4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No iodine included.</w:t>
            </w:r>
          </w:p>
        </w:tc>
        <w:tc>
          <w:tcPr>
            <w:tcW w:type="dxa" w:w="16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Roboto" w:cs="Roboto" w:eastAsia="Roboto" w:hAnsi="Robot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 w:before="240"/>
      </w:pPr>
      <w:r>
        <w:rPr>
          <w:rFonts w:ascii="Roboto" w:cs="Roboto" w:eastAsia="Roboto" w:hAnsi="Roboto"/>
          <w:b/>
          <w:bCs/>
          <w:color w:val="535B50"/>
          <w:sz w:val="24"/>
          <w:szCs w:val="24"/>
        </w:rPr>
        <w:t xml:space="preserve">Binding exclusions applied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(No binding exclusions applied on this panel — none of the panel findings triggered a hard exclusion rule.)</w:t>
      </w:r>
    </w:p>
    <w:p>
      <w:pPr>
        <w:pBdr>
          <w:bottom w:val="single" w:color="C3AF88" w:sz="6" w:space="4"/>
        </w:pBdr>
        <w:spacing w:after="180" w:before="360"/>
      </w:pPr>
      <w:r>
        <w:rPr>
          <w:rFonts w:ascii="Roboto" w:cs="Roboto" w:eastAsia="Roboto" w:hAnsi="Roboto"/>
          <w:b/>
          <w:bCs/>
          <w:color w:val="535B50"/>
          <w:sz w:val="28"/>
          <w:szCs w:val="28"/>
        </w:rPr>
        <w:t xml:space="preserve">Section 6 — Monitoring and Follow-Up Considerations</w:t>
      </w:r>
    </w:p>
    <w:p>
      <w:pPr>
        <w:spacing w:after="12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The practitioner may wish to consider retesting priority markers at a clinically appropriate interval (commonly 3-4 months in functional medicine practice) to evaluate response. Key markers to monitor are those most strongly out of range and those tied to the formulation's primary mechanisms.</w:t>
      </w:r>
    </w:p>
    <w:p>
      <w:pPr>
        <w:spacing w:after="180" w:before="240"/>
      </w:pPr>
      <w:r>
        <w:rPr>
          <w:rFonts w:ascii="Roboto" w:cs="Roboto" w:eastAsia="Roboto" w:hAnsi="Roboto"/>
          <w:b/>
          <w:bCs/>
          <w:color w:val="535B50"/>
          <w:sz w:val="24"/>
          <w:szCs w:val="24"/>
        </w:rPr>
        <w:t xml:space="preserve">Markers for practitioner consideration at follow-up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Xanthurenic acid (B6 functional marker)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KMBA (methylation marker)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Quinolinic acid and quinolinic/5-HIAA ratio (neuroinflammation)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Leukotriene E4 (5-LOX activity)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8-OHdG (oxidative DNA damage)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Isocitric acid, 2-oxoglutaric acid, 3-methylglutaconic acid (mitochondrial/TCA)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t,t-muconic acid and 3-methylhippuric acid (xenobiotic exposure — depends on source reduction)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Plasma homocysteine, serum B12, folate, and B6 may be considered to characterise methylation status per the laboratory's comment on KMBA</w:t>
      </w:r>
    </w:p>
    <w:p>
      <w:pPr>
        <w:spacing w:after="120" w:before="240"/>
      </w:pPr>
      <w:r>
        <w:rPr>
          <w:rFonts w:ascii="Roboto" w:cs="Roboto" w:eastAsia="Roboto" w:hAnsi="Roboto"/>
          <w:i/>
          <w:iCs/>
          <w:color w:val="666666"/>
          <w:sz w:val="20"/>
          <w:szCs w:val="20"/>
        </w:rPr>
        <w:t xml:space="preserve">Re-testing timing is a clinical option determined by the treating practitioner.</w:t>
      </w:r>
    </w:p>
    <w:p>
      <w:pPr>
        <w:pBdr>
          <w:bottom w:val="single" w:color="C3AF88" w:sz="6" w:space="4"/>
        </w:pBdr>
        <w:spacing w:after="180" w:before="360"/>
      </w:pPr>
      <w:r>
        <w:rPr>
          <w:rFonts w:ascii="Roboto" w:cs="Roboto" w:eastAsia="Roboto" w:hAnsi="Roboto"/>
          <w:b/>
          <w:bCs/>
          <w:color w:val="535B50"/>
          <w:sz w:val="28"/>
          <w:szCs w:val="28"/>
        </w:rPr>
        <w:t xml:space="preserve">Section 7 — Areas of Strength</w:t>
      </w:r>
    </w:p>
    <w:p>
      <w:pPr>
        <w:spacing w:after="120"/>
      </w:pPr>
      <w:r>
        <w:rPr>
          <w:rFonts w:ascii="Roboto" w:cs="Roboto" w:eastAsia="Roboto" w:hAnsi="Roboto"/>
          <w:b w:val="false"/>
          <w:bCs w:val="false"/>
          <w:color w:val="000000"/>
          <w:sz w:val="22"/>
          <w:szCs w:val="22"/>
        </w:rPr>
        <w:t xml:space="preserve">The following 8 finding(s) on this panel are within reference and are surfaced as areas of clinical strength to contextualise the abnormal findings above.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Glycolytic function appears unstressed (glucose, pyruvate, lactate within range)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Methylmalonic acid within range (B12 functional adequacy)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FIGLU within range (folate functional adequacy at this snapshot)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Glutathione cycling markers (pyroglutamic acid, NAC) within range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Catecholamine and adrenal cortisol markers within range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Oxalate metabolism within range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Clostridial markers (HPHPA, 4-cresol, 4-HPAA, IAA) within range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C3AF88"/>
          <w:sz w:val="22"/>
          <w:szCs w:val="22"/>
        </w:rPr>
        <w:t xml:space="preserve">• </w:t>
      </w:r>
      <w:r>
        <w:rPr>
          <w:rFonts w:ascii="Roboto" w:cs="Roboto" w:eastAsia="Roboto" w:hAnsi="Roboto"/>
          <w:color w:val="000000"/>
          <w:sz w:val="20"/>
          <w:szCs w:val="20"/>
        </w:rPr>
        <w:t xml:space="preserve">Several mitochondrial markers (methylsuccinic acid, malonic acid, 2-hydroxyglutaric acid) within range</w:t>
      </w:r>
    </w:p>
    <w:p>
      <w:pPr>
        <w:pBdr>
          <w:top w:val="single" w:color="C3AF88" w:sz="6" w:space="4"/>
        </w:pBdr>
        <w:spacing w:after="120" w:before="360"/>
      </w:pPr>
      <w:r>
        <w:rPr>
          <w:rFonts w:ascii="Roboto" w:cs="Roboto" w:eastAsia="Roboto" w:hAnsi="Roboto"/>
          <w:b/>
          <w:bCs/>
          <w:i/>
          <w:iCs/>
          <w:color w:val="000000"/>
          <w:sz w:val="18"/>
          <w:szCs w:val="18"/>
        </w:rPr>
        <w:t xml:space="preserve">Patients should not act on the contents of this document without the direct guidance of their treating practitioner.</w:t>
      </w:r>
    </w:p>
    <w:p>
      <w:pPr>
        <w:spacing w:after="60"/>
      </w:pPr>
      <w:r>
        <w:rPr>
          <w:rFonts w:ascii="Roboto" w:cs="Roboto" w:eastAsia="Roboto" w:hAnsi="Roboto"/>
          <w:i/>
          <w:iCs/>
          <w:color w:val="666666"/>
          <w:sz w:val="18"/>
          <w:szCs w:val="18"/>
        </w:rPr>
        <w:t xml:space="preserve">Submission: SUB-2026-002  •  Generated: 14 May 2026, 8:38 am</w:t>
      </w:r>
    </w:p>
    <w:p>
      <w:pPr>
        <w:spacing w:after="60"/>
      </w:pPr>
      <w:r>
        <w:rPr>
          <w:rFonts w:ascii="Roboto" w:cs="Roboto" w:eastAsia="Roboto" w:hAnsi="Roboto"/>
          <w:i/>
          <w:iCs/>
          <w:color w:val="666666"/>
          <w:sz w:val="18"/>
          <w:szCs w:val="18"/>
        </w:rPr>
        <w:t xml:space="preserve">Audit Reference: 6606-F66E-9B13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oboto" w:cs="Roboto" w:eastAsia="Roboto" w:hAnsi="Roboto"/>
        <w:color w:val="666666"/>
        <w:sz w:val="16"/>
        <w:szCs w:val="16"/>
      </w:rPr>
      <w:t xml:space="preserve">N of 1 Precision Formulation  |  SUB-2026-002  |  DRAFT — Page </w:t>
    </w:r>
    <w:r>
      <w:rPr>
        <w:rFonts w:ascii="Roboto" w:cs="Roboto" w:eastAsia="Roboto" w:hAnsi="Robot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666666"/>
        <w:sz w:val="16"/>
        <w:szCs w:val="16"/>
      </w:rPr>
      <w:t xml:space="preserve"> of </w:t>
    </w:r>
    <w:r>
      <w:rPr>
        <w:rFonts w:ascii="Roboto" w:cs="Roboto" w:eastAsia="Roboto" w:hAnsi="Roboto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a66d48eaf0c05f3b2f313fea30ee617ddf5b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2026-05-13T22:49:56.842Z</dcterms:created>
  <dcterms:modified xsi:type="dcterms:W3CDTF">2026-05-13T22:49:56.842Z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