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drawing>
          <wp:inline distT="0" distB="0" distL="0" distR="0">
            <wp:extent cx="514350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962025"/>
                    </a:xfrm>
                    <a:prstGeom prst="rect">
                      <a:avLst/>
                    </a:prstGeom>
                  </pic:spPr>
                </pic:pic>
              </a:graphicData>
            </a:graphic>
          </wp:inline>
        </w:drawing>
      </w:r>
    </w:p>
    <w:p>
      <w:pPr>
        <w:spacing w:after="60"/>
      </w:pPr>
      <w:r>
        <w:rPr>
          <w:rFonts w:ascii="Roboto" w:cs="Roboto" w:eastAsia="Roboto" w:hAnsi="Roboto"/>
          <w:b/>
          <w:bCs/>
          <w:color w:val="535B50"/>
          <w:sz w:val="36"/>
          <w:szCs w:val="36"/>
        </w:rPr>
        <w:t xml:space="preserve">Health Analysis</w:t>
      </w:r>
    </w:p>
    <w:p>
      <w:pPr>
        <w:spacing w:after="240"/>
      </w:pPr>
      <w:r>
        <w:rPr>
          <w:rFonts w:ascii="Roboto" w:cs="Roboto" w:eastAsia="Roboto" w:hAnsi="Roboto"/>
          <w:i/>
          <w:iCs/>
          <w:color w:val="666666"/>
          <w:sz w:val="22"/>
          <w:szCs w:val="22"/>
        </w:rPr>
        <w:t xml:space="preserve">N of 1 Precision Formulation  •  Practitioner Decision Support</w:t>
      </w:r>
    </w:p>
    <w:p>
      <w:pPr>
        <w:pBdr>
          <w:top w:val="single" w:color="8B2A2A" w:sz="6" w:space="2"/>
          <w:bottom w:val="single" w:color="8B2A2A" w:sz="6" w:space="2"/>
        </w:pBdr>
        <w:spacing w:after="240" w:before="120"/>
        <w:jc w:val="center"/>
      </w:pPr>
      <w:r>
        <w:rPr>
          <w:rFonts w:ascii="Roboto" w:cs="Roboto" w:eastAsia="Roboto" w:hAnsi="Roboto"/>
          <w:b/>
          <w:bCs/>
          <w:color w:val="8B2A2A"/>
          <w:sz w:val="22"/>
          <w:szCs w:val="22"/>
        </w:rPr>
        <w:t xml:space="preserve">DRAFT — PENDING PRACTITIONER REVIEW AND APPROVAL</w:t>
      </w:r>
    </w:p>
    <w:p>
      <w:pPr>
        <w:spacing w:after="240"/>
      </w:pPr>
      <w:r>
        <w:rPr>
          <w:rFonts w:ascii="Roboto" w:cs="Roboto" w:eastAsia="Roboto" w:hAnsi="Roboto"/>
          <w:i/>
          <w:iCs/>
          <w:color w:val="000000"/>
          <w:sz w:val="18"/>
          <w:szCs w:val="18"/>
        </w:rPr>
        <w:t xml:space="preserve">This document is decision support for a qualified healthcare practitioner. It is not a diagnosis, not a prescription, and not directed to the patient. The reviewing practitioner is the prescribing clinician of record and exercises independent clinical judgement on every recommendation contained herein.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700"/>
        <w:gridCol w:w="1900"/>
      </w:tblGrid>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Patient Pseudonym</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PT-2026-003</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Age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56</w:t>
            </w:r>
          </w:p>
        </w:tc>
      </w:tr>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Sex (at birth)</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female</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Test Type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Organic_Acids</w:t>
            </w:r>
          </w:p>
        </w:tc>
      </w:tr>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Lab ID</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202605130722271AF966</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Collection Date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2026-04-02</w:t>
            </w:r>
          </w:p>
        </w:tc>
      </w:tr>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Practitioner ID</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P001-NATUROPATH</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Practitioner Type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naturopath</w:t>
            </w:r>
          </w:p>
        </w:tc>
      </w:tr>
      <w:tr>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Submission ID</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SUB-2026-003</w:t>
            </w:r>
          </w:p>
        </w:tc>
        <w:tc>
          <w:tcPr>
            <w:tcW w:type="dxa" w:w="270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Generated</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r>
    </w:tbl>
    <w:p>
      <w:r>
        <w:t xml:space="preserve"/>
      </w:r>
    </w:p>
    <w:p>
      <w:pPr>
        <w:pBdr>
          <w:bottom w:val="single" w:color="C3AF88" w:sz="6" w:space="4"/>
        </w:pBdr>
        <w:spacing w:after="180" w:before="360"/>
      </w:pPr>
      <w:r>
        <w:rPr>
          <w:rFonts w:ascii="Roboto" w:cs="Roboto" w:eastAsia="Roboto" w:hAnsi="Roboto"/>
          <w:b/>
          <w:bCs/>
          <w:color w:val="535B50"/>
          <w:sz w:val="28"/>
          <w:szCs w:val="28"/>
        </w:rPr>
        <w:t xml:space="preserve">Section 1 — Executive Summary</w:t>
      </w:r>
    </w:p>
    <w:p>
      <w:pPr>
        <w:spacing w:after="240"/>
      </w:pPr>
      <w:r>
        <w:rPr>
          <w:rFonts w:ascii="Roboto" w:cs="Roboto" w:eastAsia="Roboto" w:hAnsi="Roboto"/>
          <w:b w:val="false"/>
          <w:bCs w:val="false"/>
          <w:color w:val="000000"/>
          <w:sz w:val="22"/>
          <w:szCs w:val="22"/>
        </w:rPr>
        <w:t xml:space="preserve">Organic Acids panel shows a multi-axis pattern: xenobiotic/benzene exposure markers elevated, tryptophan-kynurenine pathway shunted toward the quinolinic/neurotoxic arm with low 5-HIAA, mitochondrial TCA cycle stress (isocitric and 2-oxoglutaric elevated), oxidative DNA damage marker (8-OHdG) elevated, leukotriene-mediated inflammation elevated, and a dysbiosis fingerprint (elevated arabinose, 4-HBA, 3,4-DHBA, 3-HPAA) — for practitioner consideration.</w:t>
      </w:r>
    </w:p>
    <w:p>
      <w:pPr>
        <w:spacing w:after="180" w:before="240"/>
      </w:pPr>
      <w:r>
        <w:rPr>
          <w:rFonts w:ascii="Roboto" w:cs="Roboto" w:eastAsia="Roboto" w:hAnsi="Roboto"/>
          <w:b/>
          <w:bCs/>
          <w:color w:val="535B50"/>
          <w:sz w:val="24"/>
          <w:szCs w:val="24"/>
        </w:rPr>
        <w:t xml:space="preserve">Recognised clinical patterns</w:t>
      </w:r>
    </w:p>
    <w:p>
      <w:pPr>
        <w:spacing w:after="60"/>
      </w:pPr>
      <w:r>
        <w:rPr>
          <w:rFonts w:ascii="Roboto" w:cs="Roboto" w:eastAsia="Roboto" w:hAnsi="Roboto"/>
          <w:b/>
          <w:bCs/>
          <w:color w:val="C3AF88"/>
          <w:sz w:val="22"/>
          <w:szCs w:val="22"/>
        </w:rPr>
        <w:t xml:space="preserve">• </w:t>
      </w:r>
      <w:r>
        <w:rPr>
          <w:rFonts w:ascii="Roboto" w:cs="Roboto" w:eastAsia="Roboto" w:hAnsi="Roboto"/>
          <w:b/>
          <w:bCs/>
          <w:color w:val="000000"/>
          <w:sz w:val="22"/>
          <w:szCs w:val="22"/>
        </w:rPr>
        <w:t xml:space="preserve">Xenobiotic-burdened</w:t>
      </w:r>
    </w:p>
    <w:p>
      <w:pPr>
        <w:spacing w:after="120"/>
        <w:ind w:left="360"/>
      </w:pPr>
      <w:r>
        <w:rPr>
          <w:rFonts w:ascii="Roboto" w:cs="Roboto" w:eastAsia="Roboto" w:hAnsi="Roboto"/>
          <w:color w:val="666666"/>
          <w:sz w:val="20"/>
          <w:szCs w:val="20"/>
        </w:rPr>
        <w:t xml:space="preserve">Supporting findings: t,t-Muconic acid 0.20 (H), 3-Methylhippuric acid 0.34 (H), 5-Hydroxymethyl-2-furoic acid 18.5 (H), Benzoic acid 25.0 (H), 4-HBA 0.64 (H)</w:t>
      </w:r>
    </w:p>
    <w:p>
      <w:pPr>
        <w:spacing w:after="60"/>
      </w:pPr>
      <w:r>
        <w:rPr>
          <w:rFonts w:ascii="Roboto" w:cs="Roboto" w:eastAsia="Roboto" w:hAnsi="Roboto"/>
          <w:b/>
          <w:bCs/>
          <w:color w:val="C3AF88"/>
          <w:sz w:val="22"/>
          <w:szCs w:val="22"/>
        </w:rPr>
        <w:t xml:space="preserve">• </w:t>
      </w:r>
      <w:r>
        <w:rPr>
          <w:rFonts w:ascii="Roboto" w:cs="Roboto" w:eastAsia="Roboto" w:hAnsi="Roboto"/>
          <w:b/>
          <w:bCs/>
          <w:color w:val="000000"/>
          <w:sz w:val="22"/>
          <w:szCs w:val="22"/>
        </w:rPr>
        <w:t xml:space="preserve">Inflammatory-metabolic (tryptophan-kynurenine shunt + leukotriene + oxidative DNA damage)</w:t>
      </w:r>
    </w:p>
    <w:p>
      <w:pPr>
        <w:spacing w:after="120"/>
        <w:ind w:left="360"/>
      </w:pPr>
      <w:r>
        <w:rPr>
          <w:rFonts w:ascii="Roboto" w:cs="Roboto" w:eastAsia="Roboto" w:hAnsi="Roboto"/>
          <w:color w:val="666666"/>
          <w:sz w:val="20"/>
          <w:szCs w:val="20"/>
        </w:rPr>
        <w:t xml:space="preserve">Supporting findings: Quinolinic 11.80 (H), Kynurenic 3.10 (H), Xanthurenic 1.92 (H), Quinolinic/5-HIAA ratio 10.4 (H), Leukotriene E4 195 (H), 8-OHdG 3.80 (H)</w:t>
      </w:r>
    </w:p>
    <w:p>
      <w:pPr>
        <w:spacing w:after="60"/>
      </w:pPr>
      <w:r>
        <w:rPr>
          <w:rFonts w:ascii="Roboto" w:cs="Roboto" w:eastAsia="Roboto" w:hAnsi="Roboto"/>
          <w:b/>
          <w:bCs/>
          <w:color w:val="C3AF88"/>
          <w:sz w:val="22"/>
          <w:szCs w:val="22"/>
        </w:rPr>
        <w:t xml:space="preserve">• </w:t>
      </w:r>
      <w:r>
        <w:rPr>
          <w:rFonts w:ascii="Roboto" w:cs="Roboto" w:eastAsia="Roboto" w:hAnsi="Roboto"/>
          <w:b/>
          <w:bCs/>
          <w:color w:val="000000"/>
          <w:sz w:val="22"/>
          <w:szCs w:val="22"/>
        </w:rPr>
        <w:t xml:space="preserve">Mitochondrial TCA strain</w:t>
      </w:r>
    </w:p>
    <w:p>
      <w:pPr>
        <w:spacing w:after="120"/>
        <w:ind w:left="360"/>
      </w:pPr>
      <w:r>
        <w:rPr>
          <w:rFonts w:ascii="Roboto" w:cs="Roboto" w:eastAsia="Roboto" w:hAnsi="Roboto"/>
          <w:color w:val="666666"/>
          <w:sz w:val="20"/>
          <w:szCs w:val="20"/>
        </w:rPr>
        <w:t xml:space="preserve">Supporting findings: Isocitric acid 86 (H), 2-Oxoglutaric acid 65 (H), 3-Methylglutaconic acid 6.32 (H), Mevalonolactone 2.80 (H)</w:t>
      </w:r>
    </w:p>
    <w:p>
      <w:pPr>
        <w:spacing w:after="60"/>
      </w:pPr>
      <w:r>
        <w:rPr>
          <w:rFonts w:ascii="Roboto" w:cs="Roboto" w:eastAsia="Roboto" w:hAnsi="Roboto"/>
          <w:b/>
          <w:bCs/>
          <w:color w:val="C3AF88"/>
          <w:sz w:val="22"/>
          <w:szCs w:val="22"/>
        </w:rPr>
        <w:t xml:space="preserve">• </w:t>
      </w:r>
      <w:r>
        <w:rPr>
          <w:rFonts w:ascii="Roboto" w:cs="Roboto" w:eastAsia="Roboto" w:hAnsi="Roboto"/>
          <w:b/>
          <w:bCs/>
          <w:color w:val="000000"/>
          <w:sz w:val="22"/>
          <w:szCs w:val="22"/>
        </w:rPr>
        <w:t xml:space="preserve">Dysbiosis fingerprint</w:t>
      </w:r>
    </w:p>
    <w:p>
      <w:pPr>
        <w:spacing w:after="120"/>
        <w:ind w:left="360"/>
      </w:pPr>
      <w:r>
        <w:rPr>
          <w:rFonts w:ascii="Roboto" w:cs="Roboto" w:eastAsia="Roboto" w:hAnsi="Roboto"/>
          <w:color w:val="666666"/>
          <w:sz w:val="20"/>
          <w:szCs w:val="20"/>
        </w:rPr>
        <w:t xml:space="preserve">Supporting findings: Arabinose 42 (H), 3,4-DHBA 62 (H), 3-HPAA 12 (H), Furancarbonylglycine 2.90 (H), 5-HMF 18.5 (H)</w:t>
      </w:r>
    </w:p>
    <w:p>
      <w:pPr>
        <w:pBdr>
          <w:bottom w:val="single" w:color="C3AF88" w:sz="6" w:space="4"/>
        </w:pBdr>
        <w:spacing w:after="180" w:before="360"/>
      </w:pPr>
      <w:r>
        <w:rPr>
          <w:rFonts w:ascii="Roboto" w:cs="Roboto" w:eastAsia="Roboto" w:hAnsi="Roboto"/>
          <w:b/>
          <w:bCs/>
          <w:color w:val="535B50"/>
          <w:sz w:val="28"/>
          <w:szCs w:val="28"/>
        </w:rPr>
        <w:t xml:space="preserve">Section 2 — Detailed Biomarker Analysis</w:t>
      </w:r>
    </w:p>
    <w:p>
      <w:pPr>
        <w:spacing w:after="240"/>
      </w:pPr>
      <w:r>
        <w:rPr>
          <w:rFonts w:ascii="Roboto" w:cs="Roboto" w:eastAsia="Roboto" w:hAnsi="Roboto"/>
          <w:b w:val="false"/>
          <w:bCs w:val="false"/>
          <w:color w:val="000000"/>
          <w:sz w:val="22"/>
          <w:szCs w:val="22"/>
        </w:rPr>
        <w:t xml:space="preserve">The following 27 biomarker findings are surfaced for practitioner review. Each finding includes a hedged interpretation, possible contributors per the published literature, and the relevance of the finding to the formulation strategy.</w:t>
      </w:r>
    </w:p>
    <w:p>
      <w:pPr>
        <w:spacing w:after="60" w:before="120"/>
      </w:pPr>
      <w:r>
        <w:rPr>
          <w:rFonts w:ascii="Roboto" w:cs="Roboto" w:eastAsia="Roboto" w:hAnsi="Roboto"/>
          <w:b/>
          <w:bCs/>
          <w:color w:val="535B50"/>
          <w:sz w:val="22"/>
          <w:szCs w:val="22"/>
        </w:rPr>
        <w:t xml:space="preserve">t,t-Muconic Acid</w:t>
      </w:r>
      <w:r>
        <w:rPr>
          <w:rFonts w:ascii="Roboto" w:cs="Roboto" w:eastAsia="Roboto" w:hAnsi="Roboto"/>
          <w:color w:val="000000"/>
          <w:sz w:val="22"/>
          <w:szCs w:val="22"/>
        </w:rPr>
        <w:t xml:space="preserve">   0.20 mmol/molCR</w:t>
      </w:r>
      <w:r>
        <w:rPr>
          <w:rFonts w:ascii="Roboto" w:cs="Roboto" w:eastAsia="Roboto" w:hAnsi="Roboto"/>
          <w:i/>
          <w:iCs/>
          <w:color w:val="666666"/>
          <w:sz w:val="20"/>
          <w:szCs w:val="20"/>
        </w:rPr>
        <w:t xml:space="preserve">   (ref: &lt;0.12)</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the laboratory reference cut-off — pattern consistent with benzene exposure per published frameworks.</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Published literature identifies inhalational benzene exposure (fuel vapours, cigarette smoke, solvents) as a contributor to elevated urinary t,t-muconic acid.</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inclusion of glucuronidation (calcium D-glucarate), Phase II antioxidant (NAC, milk thistle, vitamin C) and broad antioxidant support.</w:t>
      </w:r>
    </w:p>
    <w:p>
      <w:pPr>
        <w:spacing w:after="60" w:before="120"/>
      </w:pPr>
      <w:r>
        <w:rPr>
          <w:rFonts w:ascii="Roboto" w:cs="Roboto" w:eastAsia="Roboto" w:hAnsi="Roboto"/>
          <w:b/>
          <w:bCs/>
          <w:color w:val="535B50"/>
          <w:sz w:val="22"/>
          <w:szCs w:val="22"/>
        </w:rPr>
        <w:t xml:space="preserve">3-Methylhippuric Acid</w:t>
      </w:r>
      <w:r>
        <w:rPr>
          <w:rFonts w:ascii="Roboto" w:cs="Roboto" w:eastAsia="Roboto" w:hAnsi="Roboto"/>
          <w:color w:val="000000"/>
          <w:sz w:val="22"/>
          <w:szCs w:val="22"/>
        </w:rPr>
        <w:t xml:space="preserve">   0.34 mmol/molCR</w:t>
      </w:r>
      <w:r>
        <w:rPr>
          <w:rFonts w:ascii="Roboto" w:cs="Roboto" w:eastAsia="Roboto" w:hAnsi="Roboto"/>
          <w:i/>
          <w:iCs/>
          <w:color w:val="666666"/>
          <w:sz w:val="20"/>
          <w:szCs w:val="20"/>
        </w:rPr>
        <w:t xml:space="preserve">   (ref: &lt;0.11)</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the laboratory reference range — pattern consistent with xylene exposure per published frameworks.</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Published literature identifies xylene exposure (paints, solvents, vehicle exhaust) as a contributor.</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Reinforces Phase II glycine-conjugation support (glycine is not in the supplied Library — surfaced as a standalone recommendation) and antioxidant defence.</w:t>
      </w:r>
    </w:p>
    <w:p>
      <w:pPr>
        <w:spacing w:after="60" w:before="120"/>
      </w:pPr>
      <w:r>
        <w:rPr>
          <w:rFonts w:ascii="Roboto" w:cs="Roboto" w:eastAsia="Roboto" w:hAnsi="Roboto"/>
          <w:b/>
          <w:bCs/>
          <w:color w:val="535B50"/>
          <w:sz w:val="22"/>
          <w:szCs w:val="22"/>
        </w:rPr>
        <w:t xml:space="preserve">5-Hydroxymethyl-2-furoic Acid</w:t>
      </w:r>
      <w:r>
        <w:rPr>
          <w:rFonts w:ascii="Roboto" w:cs="Roboto" w:eastAsia="Roboto" w:hAnsi="Roboto"/>
          <w:color w:val="000000"/>
          <w:sz w:val="22"/>
          <w:szCs w:val="22"/>
        </w:rPr>
        <w:t xml:space="preserve">   18.50 mmol/molCR</w:t>
      </w:r>
      <w:r>
        <w:rPr>
          <w:rFonts w:ascii="Roboto" w:cs="Roboto" w:eastAsia="Roboto" w:hAnsi="Roboto"/>
          <w:i/>
          <w:iCs/>
          <w:color w:val="666666"/>
          <w:sz w:val="20"/>
          <w:szCs w:val="20"/>
        </w:rPr>
        <w:t xml:space="preserve">   (ref: &lt;10.00)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the laboratory reference range — pattern often associated with dietary furan derivatives or yeast metabolism per published frameworks.</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Published literature points to processed/heated food furan derivatives and yeast overgrowth as possible contributors.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gut-axis and detoxification support.</w:t>
      </w:r>
    </w:p>
    <w:p>
      <w:pPr>
        <w:spacing w:after="60" w:before="120"/>
      </w:pPr>
      <w:r>
        <w:rPr>
          <w:rFonts w:ascii="Roboto" w:cs="Roboto" w:eastAsia="Roboto" w:hAnsi="Roboto"/>
          <w:b/>
          <w:bCs/>
          <w:color w:val="535B50"/>
          <w:sz w:val="22"/>
          <w:szCs w:val="22"/>
        </w:rPr>
        <w:t xml:space="preserve">Benzoic Acid (Urine)</w:t>
      </w:r>
      <w:r>
        <w:rPr>
          <w:rFonts w:ascii="Roboto" w:cs="Roboto" w:eastAsia="Roboto" w:hAnsi="Roboto"/>
          <w:color w:val="000000"/>
          <w:sz w:val="22"/>
          <w:szCs w:val="22"/>
        </w:rPr>
        <w:t xml:space="preserve">   25.00 mmol/molCR</w:t>
      </w:r>
      <w:r>
        <w:rPr>
          <w:rFonts w:ascii="Roboto" w:cs="Roboto" w:eastAsia="Roboto" w:hAnsi="Roboto"/>
          <w:i/>
          <w:iCs/>
          <w:color w:val="666666"/>
          <w:sz w:val="20"/>
          <w:szCs w:val="20"/>
        </w:rPr>
        <w:t xml:space="preserve">   (ref: &lt;9.30)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the laboratory reference range. Pattern consistent with preservative intake or impaired glycine conjugation per published frameworks.</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Dietary benzoate preservatives or limited glycine availability for conjugation to hippurate.</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Glycine is the canonical conjugator — surface as standalone since not in Library; supports cal D-glucarate inclusion.</w:t>
      </w:r>
    </w:p>
    <w:p>
      <w:pPr>
        <w:spacing w:after="60" w:before="120"/>
      </w:pPr>
      <w:r>
        <w:rPr>
          <w:rFonts w:ascii="Roboto" w:cs="Roboto" w:eastAsia="Roboto" w:hAnsi="Roboto"/>
          <w:b/>
          <w:bCs/>
          <w:color w:val="535B50"/>
          <w:sz w:val="22"/>
          <w:szCs w:val="22"/>
        </w:rPr>
        <w:t xml:space="preserve">4-Hydroxybenzoic Acid (4-HBA)</w:t>
      </w:r>
      <w:r>
        <w:rPr>
          <w:rFonts w:ascii="Roboto" w:cs="Roboto" w:eastAsia="Roboto" w:hAnsi="Roboto"/>
          <w:color w:val="000000"/>
          <w:sz w:val="22"/>
          <w:szCs w:val="22"/>
        </w:rPr>
        <w:t xml:space="preserve">   0.64 mmol/molCR</w:t>
      </w:r>
      <w:r>
        <w:rPr>
          <w:rFonts w:ascii="Roboto" w:cs="Roboto" w:eastAsia="Roboto" w:hAnsi="Roboto"/>
          <w:i/>
          <w:iCs/>
          <w:color w:val="666666"/>
          <w:sz w:val="20"/>
          <w:szCs w:val="20"/>
        </w:rPr>
        <w:t xml:space="preserve">   (ref: &lt;0.57)</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Marginally above reference — pattern consistent with paraben exposure or microbial polyphenol metabolism per published frameworks.</w:t>
      </w:r>
    </w:p>
    <w:p>
      <w:pPr>
        <w:spacing w:after="60"/>
      </w:pPr>
      <w:r>
        <w:rPr>
          <w:rFonts w:ascii="Roboto" w:cs="Roboto" w:eastAsia="Roboto" w:hAnsi="Roboto"/>
          <w:b/>
          <w:bCs/>
          <w:color w:val="535B50"/>
          <w:sz w:val="20"/>
          <w:szCs w:val="20"/>
        </w:rPr>
        <w:t xml:space="preserve">Possible contributors: </w:t>
      </w:r>
      <w:r>
        <w:rPr>
          <w:rFonts w:ascii="Roboto" w:cs="Roboto" w:eastAsia="Roboto" w:hAnsi="Roboto"/>
          <w:color w:val="000000"/>
          <w:sz w:val="20"/>
          <w:szCs w:val="20"/>
        </w:rPr>
        <w:t xml:space="preserve">Paraben preservatives (cosmetics, personal care), microbial conversion of dietary polyphenols.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Reinforces glucuronidation/Phase II detox support.</w:t>
      </w:r>
    </w:p>
    <w:p>
      <w:pPr>
        <w:spacing w:after="60" w:before="120"/>
      </w:pPr>
      <w:r>
        <w:rPr>
          <w:rFonts w:ascii="Roboto" w:cs="Roboto" w:eastAsia="Roboto" w:hAnsi="Roboto"/>
          <w:b/>
          <w:bCs/>
          <w:color w:val="535B50"/>
          <w:sz w:val="22"/>
          <w:szCs w:val="22"/>
        </w:rPr>
        <w:t xml:space="preserve">3,4-Dihydroxybenzoic Acid</w:t>
      </w:r>
      <w:r>
        <w:rPr>
          <w:rFonts w:ascii="Roboto" w:cs="Roboto" w:eastAsia="Roboto" w:hAnsi="Roboto"/>
          <w:color w:val="000000"/>
          <w:sz w:val="22"/>
          <w:szCs w:val="22"/>
        </w:rPr>
        <w:t xml:space="preserve">   62.00 mmol/molCR</w:t>
      </w:r>
      <w:r>
        <w:rPr>
          <w:rFonts w:ascii="Roboto" w:cs="Roboto" w:eastAsia="Roboto" w:hAnsi="Roboto"/>
          <w:i/>
          <w:iCs/>
          <w:color w:val="666666"/>
          <w:sz w:val="20"/>
          <w:szCs w:val="20"/>
        </w:rPr>
        <w:t xml:space="preserve">   (ref: &lt;45.00)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reference — pattern consistent with microbial polyphenol metabolism / dysbiosis per published frameworks.</w:t>
      </w:r>
    </w:p>
    <w:p>
      <w:pPr>
        <w:spacing w:after="60" w:before="120"/>
      </w:pPr>
      <w:r>
        <w:rPr>
          <w:rFonts w:ascii="Roboto" w:cs="Roboto" w:eastAsia="Roboto" w:hAnsi="Roboto"/>
          <w:b/>
          <w:bCs/>
          <w:color w:val="535B50"/>
          <w:sz w:val="22"/>
          <w:szCs w:val="22"/>
        </w:rPr>
        <w:t xml:space="preserve">3-Hydroxyphenylacetic Acid (3-HPAA)</w:t>
      </w:r>
      <w:r>
        <w:rPr>
          <w:rFonts w:ascii="Roboto" w:cs="Roboto" w:eastAsia="Roboto" w:hAnsi="Roboto"/>
          <w:color w:val="000000"/>
          <w:sz w:val="22"/>
          <w:szCs w:val="22"/>
        </w:rPr>
        <w:t xml:space="preserve">   12.00 mmol/molCR</w:t>
      </w:r>
      <w:r>
        <w:rPr>
          <w:rFonts w:ascii="Roboto" w:cs="Roboto" w:eastAsia="Roboto" w:hAnsi="Roboto"/>
          <w:i/>
          <w:iCs/>
          <w:color w:val="666666"/>
          <w:sz w:val="20"/>
          <w:szCs w:val="20"/>
        </w:rPr>
        <w:t xml:space="preserve">   (ref: &lt;10.00)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Mildly above reference — pattern often associated with gut microbial protein/polyphenol metabolism.</w:t>
      </w:r>
    </w:p>
    <w:p>
      <w:pPr>
        <w:spacing w:after="60" w:before="120"/>
      </w:pPr>
      <w:r>
        <w:rPr>
          <w:rFonts w:ascii="Roboto" w:cs="Roboto" w:eastAsia="Roboto" w:hAnsi="Roboto"/>
          <w:b/>
          <w:bCs/>
          <w:color w:val="535B50"/>
          <w:sz w:val="22"/>
          <w:szCs w:val="22"/>
        </w:rPr>
        <w:t xml:space="preserve">Arabinose</w:t>
      </w:r>
      <w:r>
        <w:rPr>
          <w:rFonts w:ascii="Roboto" w:cs="Roboto" w:eastAsia="Roboto" w:hAnsi="Roboto"/>
          <w:color w:val="000000"/>
          <w:sz w:val="22"/>
          <w:szCs w:val="22"/>
        </w:rPr>
        <w:t xml:space="preserve">   42.00 mmol/molCR</w:t>
      </w:r>
      <w:r>
        <w:rPr>
          <w:rFonts w:ascii="Roboto" w:cs="Roboto" w:eastAsia="Roboto" w:hAnsi="Roboto"/>
          <w:i/>
          <w:iCs/>
          <w:color w:val="666666"/>
          <w:sz w:val="20"/>
          <w:szCs w:val="20"/>
        </w:rPr>
        <w:t xml:space="preserve">   (ref: &lt;32.00)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reference — pattern consistent with intestinal yeast/Candida activity per published interpretive frameworks.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inclusion of gastrointestinal/antimicrobial-supportive botanicals (berberine candidate).</w:t>
      </w:r>
    </w:p>
    <w:p>
      <w:pPr>
        <w:spacing w:after="60" w:before="120"/>
      </w:pPr>
      <w:r>
        <w:rPr>
          <w:rFonts w:ascii="Roboto" w:cs="Roboto" w:eastAsia="Roboto" w:hAnsi="Roboto"/>
          <w:b/>
          <w:bCs/>
          <w:color w:val="535B50"/>
          <w:sz w:val="22"/>
          <w:szCs w:val="22"/>
        </w:rPr>
        <w:t xml:space="preserve">Furancarbonylglycine</w:t>
      </w:r>
      <w:r>
        <w:rPr>
          <w:rFonts w:ascii="Roboto" w:cs="Roboto" w:eastAsia="Roboto" w:hAnsi="Roboto"/>
          <w:color w:val="000000"/>
          <w:sz w:val="22"/>
          <w:szCs w:val="22"/>
        </w:rPr>
        <w:t xml:space="preserve">   2.90 mmol/molCR</w:t>
      </w:r>
      <w:r>
        <w:rPr>
          <w:rFonts w:ascii="Roboto" w:cs="Roboto" w:eastAsia="Roboto" w:hAnsi="Roboto"/>
          <w:i/>
          <w:iCs/>
          <w:color w:val="666666"/>
          <w:sz w:val="20"/>
          <w:szCs w:val="20"/>
        </w:rPr>
        <w:t xml:space="preserve">   (ref: &lt;2.00)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reference — pattern consistent with dysbiosis-related furanyl metabolism.</w:t>
      </w:r>
    </w:p>
    <w:p>
      <w:pPr>
        <w:spacing w:after="60" w:before="120"/>
      </w:pPr>
      <w:r>
        <w:rPr>
          <w:rFonts w:ascii="Roboto" w:cs="Roboto" w:eastAsia="Roboto" w:hAnsi="Roboto"/>
          <w:b/>
          <w:bCs/>
          <w:color w:val="535B50"/>
          <w:sz w:val="22"/>
          <w:szCs w:val="22"/>
        </w:rPr>
        <w:t xml:space="preserve">Isocitric Acid</w:t>
      </w:r>
      <w:r>
        <w:rPr>
          <w:rFonts w:ascii="Roboto" w:cs="Roboto" w:eastAsia="Roboto" w:hAnsi="Roboto"/>
          <w:color w:val="000000"/>
          <w:sz w:val="22"/>
          <w:szCs w:val="22"/>
        </w:rPr>
        <w:t xml:space="preserve">   86.00 mmol/molCR</w:t>
      </w:r>
      <w:r>
        <w:rPr>
          <w:rFonts w:ascii="Roboto" w:cs="Roboto" w:eastAsia="Roboto" w:hAnsi="Roboto"/>
          <w:i/>
          <w:iCs/>
          <w:color w:val="666666"/>
          <w:sz w:val="20"/>
          <w:szCs w:val="20"/>
        </w:rPr>
        <w:t xml:space="preserve">   (ref: 5.00-65.00)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reference — pattern consistent with TCA bottleneck at isocitrate dehydrogenase (NAD/Mn/Mg dependent) per published mitochondrial frameworks.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mineral and NAD-supporting cofactor inclusion.</w:t>
      </w:r>
    </w:p>
    <w:p>
      <w:pPr>
        <w:spacing w:after="60" w:before="120"/>
      </w:pPr>
      <w:r>
        <w:rPr>
          <w:rFonts w:ascii="Roboto" w:cs="Roboto" w:eastAsia="Roboto" w:hAnsi="Roboto"/>
          <w:b/>
          <w:bCs/>
          <w:color w:val="535B50"/>
          <w:sz w:val="22"/>
          <w:szCs w:val="22"/>
        </w:rPr>
        <w:t xml:space="preserve">2-Oxoglutaric Acid</w:t>
      </w:r>
      <w:r>
        <w:rPr>
          <w:rFonts w:ascii="Roboto" w:cs="Roboto" w:eastAsia="Roboto" w:hAnsi="Roboto"/>
          <w:color w:val="000000"/>
          <w:sz w:val="22"/>
          <w:szCs w:val="22"/>
        </w:rPr>
        <w:t xml:space="preserve">   65.00 mmol/molCR</w:t>
      </w:r>
      <w:r>
        <w:rPr>
          <w:rFonts w:ascii="Roboto" w:cs="Roboto" w:eastAsia="Roboto" w:hAnsi="Roboto"/>
          <w:i/>
          <w:iCs/>
          <w:color w:val="666666"/>
          <w:sz w:val="20"/>
          <w:szCs w:val="20"/>
        </w:rPr>
        <w:t xml:space="preserve">   (ref: 2.00-45.00)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reference — pattern consistent with α-KG dehydrogenase complex strain (B1/B2/B3/B5/lipoic acid dependent) per published frameworks.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B-complex cofactor and alpha-lipoic acid inclusion.</w:t>
      </w:r>
    </w:p>
    <w:p>
      <w:pPr>
        <w:spacing w:after="60" w:before="120"/>
      </w:pPr>
      <w:r>
        <w:rPr>
          <w:rFonts w:ascii="Roboto" w:cs="Roboto" w:eastAsia="Roboto" w:hAnsi="Roboto"/>
          <w:b/>
          <w:bCs/>
          <w:color w:val="535B50"/>
          <w:sz w:val="22"/>
          <w:szCs w:val="22"/>
        </w:rPr>
        <w:t xml:space="preserve">3-Methylglutaconic Acid</w:t>
      </w:r>
      <w:r>
        <w:rPr>
          <w:rFonts w:ascii="Roboto" w:cs="Roboto" w:eastAsia="Roboto" w:hAnsi="Roboto"/>
          <w:color w:val="000000"/>
          <w:sz w:val="22"/>
          <w:szCs w:val="22"/>
        </w:rPr>
        <w:t xml:space="preserve">   6.32 mmol/molCR</w:t>
      </w:r>
      <w:r>
        <w:rPr>
          <w:rFonts w:ascii="Roboto" w:cs="Roboto" w:eastAsia="Roboto" w:hAnsi="Roboto"/>
          <w:i/>
          <w:iCs/>
          <w:color w:val="666666"/>
          <w:sz w:val="20"/>
          <w:szCs w:val="20"/>
        </w:rPr>
        <w:t xml:space="preserve">   (ref: &lt;5.50)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reference — pattern often associated with leucine metabolism/mitochondrial stress per published frameworks.</w:t>
      </w:r>
    </w:p>
    <w:p>
      <w:pPr>
        <w:spacing w:after="60" w:before="120"/>
      </w:pPr>
      <w:r>
        <w:rPr>
          <w:rFonts w:ascii="Roboto" w:cs="Roboto" w:eastAsia="Roboto" w:hAnsi="Roboto"/>
          <w:b/>
          <w:bCs/>
          <w:color w:val="535B50"/>
          <w:sz w:val="22"/>
          <w:szCs w:val="22"/>
        </w:rPr>
        <w:t xml:space="preserve">Mevalonolactone</w:t>
      </w:r>
      <w:r>
        <w:rPr>
          <w:rFonts w:ascii="Roboto" w:cs="Roboto" w:eastAsia="Roboto" w:hAnsi="Roboto"/>
          <w:color w:val="000000"/>
          <w:sz w:val="22"/>
          <w:szCs w:val="22"/>
        </w:rPr>
        <w:t xml:space="preserve">   2.80 mmol/molCR</w:t>
      </w:r>
      <w:r>
        <w:rPr>
          <w:rFonts w:ascii="Roboto" w:cs="Roboto" w:eastAsia="Roboto" w:hAnsi="Roboto"/>
          <w:i/>
          <w:iCs/>
          <w:color w:val="666666"/>
          <w:sz w:val="20"/>
          <w:szCs w:val="20"/>
        </w:rPr>
        <w:t xml:space="preserve">   (ref: &lt;2.00)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reference — pattern consistent with elevated HMG-CoA reductase activity per published frameworks; CoQ10 demand may be increased.</w:t>
      </w:r>
    </w:p>
    <w:p>
      <w:pPr>
        <w:spacing w:after="60" w:before="120"/>
      </w:pPr>
      <w:r>
        <w:rPr>
          <w:rFonts w:ascii="Roboto" w:cs="Roboto" w:eastAsia="Roboto" w:hAnsi="Roboto"/>
          <w:b/>
          <w:bCs/>
          <w:color w:val="535B50"/>
          <w:sz w:val="22"/>
          <w:szCs w:val="22"/>
        </w:rPr>
        <w:t xml:space="preserve">Xanthurenic Acid</w:t>
      </w:r>
      <w:r>
        <w:rPr>
          <w:rFonts w:ascii="Roboto" w:cs="Roboto" w:eastAsia="Roboto" w:hAnsi="Roboto"/>
          <w:color w:val="000000"/>
          <w:sz w:val="22"/>
          <w:szCs w:val="22"/>
        </w:rPr>
        <w:t xml:space="preserve">   1.92 mmol/molCR</w:t>
      </w:r>
      <w:r>
        <w:rPr>
          <w:rFonts w:ascii="Roboto" w:cs="Roboto" w:eastAsia="Roboto" w:hAnsi="Roboto"/>
          <w:i/>
          <w:iCs/>
          <w:color w:val="666666"/>
          <w:sz w:val="20"/>
          <w:szCs w:val="20"/>
        </w:rPr>
        <w:t xml:space="preserve">   (ref: &lt;0.96)</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reference — pattern consistent with functional B6 demand on the kynurenine pathway per published frameworks.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active B6 (P5P) inclusion.</w:t>
      </w:r>
    </w:p>
    <w:p>
      <w:pPr>
        <w:spacing w:after="60" w:before="120"/>
      </w:pPr>
      <w:r>
        <w:rPr>
          <w:rFonts w:ascii="Roboto" w:cs="Roboto" w:eastAsia="Roboto" w:hAnsi="Roboto"/>
          <w:b/>
          <w:bCs/>
          <w:color w:val="535B50"/>
          <w:sz w:val="22"/>
          <w:szCs w:val="22"/>
        </w:rPr>
        <w:t xml:space="preserve">Kynurenic Acid</w:t>
      </w:r>
      <w:r>
        <w:rPr>
          <w:rFonts w:ascii="Roboto" w:cs="Roboto" w:eastAsia="Roboto" w:hAnsi="Roboto"/>
          <w:color w:val="000000"/>
          <w:sz w:val="22"/>
          <w:szCs w:val="22"/>
        </w:rPr>
        <w:t xml:space="preserve">   3.10 mmol/molCR</w:t>
      </w:r>
      <w:r>
        <w:rPr>
          <w:rFonts w:ascii="Roboto" w:cs="Roboto" w:eastAsia="Roboto" w:hAnsi="Roboto"/>
          <w:i/>
          <w:iCs/>
          <w:color w:val="666666"/>
          <w:sz w:val="20"/>
          <w:szCs w:val="20"/>
        </w:rPr>
        <w:t xml:space="preserve">   (ref: &lt;2.20)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reference — kynurenine pathway upregulation per published literature.</w:t>
      </w:r>
    </w:p>
    <w:p>
      <w:pPr>
        <w:spacing w:after="60" w:before="120"/>
      </w:pPr>
      <w:r>
        <w:rPr>
          <w:rFonts w:ascii="Roboto" w:cs="Roboto" w:eastAsia="Roboto" w:hAnsi="Roboto"/>
          <w:b/>
          <w:bCs/>
          <w:color w:val="535B50"/>
          <w:sz w:val="22"/>
          <w:szCs w:val="22"/>
        </w:rPr>
        <w:t xml:space="preserve">Quinolinic Acid</w:t>
      </w:r>
      <w:r>
        <w:rPr>
          <w:rFonts w:ascii="Roboto" w:cs="Roboto" w:eastAsia="Roboto" w:hAnsi="Roboto"/>
          <w:color w:val="000000"/>
          <w:sz w:val="22"/>
          <w:szCs w:val="22"/>
        </w:rPr>
        <w:t xml:space="preserve">   11.80 mmol/molCR</w:t>
      </w:r>
      <w:r>
        <w:rPr>
          <w:rFonts w:ascii="Roboto" w:cs="Roboto" w:eastAsia="Roboto" w:hAnsi="Roboto"/>
          <w:i/>
          <w:iCs/>
          <w:color w:val="666666"/>
          <w:sz w:val="20"/>
          <w:szCs w:val="20"/>
        </w:rPr>
        <w:t xml:space="preserve">   (ref: &lt;9.10)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reference — pattern consistent with IDO-driven tryptophan shunting and excitotoxic potential per published neuro-inflammation frameworks.</w:t>
      </w:r>
    </w:p>
    <w:p>
      <w:pPr>
        <w:spacing w:after="60" w:before="120"/>
      </w:pPr>
      <w:r>
        <w:rPr>
          <w:rFonts w:ascii="Roboto" w:cs="Roboto" w:eastAsia="Roboto" w:hAnsi="Roboto"/>
          <w:b/>
          <w:bCs/>
          <w:color w:val="535B50"/>
          <w:sz w:val="22"/>
          <w:szCs w:val="22"/>
        </w:rPr>
        <w:t xml:space="preserve">Quinolinic/5-HIAA Ratio</w:t>
      </w:r>
      <w:r>
        <w:rPr>
          <w:rFonts w:ascii="Roboto" w:cs="Roboto" w:eastAsia="Roboto" w:hAnsi="Roboto"/>
          <w:color w:val="000000"/>
          <w:sz w:val="22"/>
          <w:szCs w:val="22"/>
        </w:rPr>
        <w:t xml:space="preserve">   10.4</w:t>
      </w:r>
      <w:r>
        <w:rPr>
          <w:rFonts w:ascii="Roboto" w:cs="Roboto" w:eastAsia="Roboto" w:hAnsi="Roboto"/>
          <w:i/>
          <w:iCs/>
          <w:color w:val="666666"/>
          <w:sz w:val="20"/>
          <w:szCs w:val="20"/>
        </w:rPr>
        <w:t xml:space="preserve">   (ref: &lt;5.0)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Elevated — pattern consistent with tryptophan being shunted away from serotonin toward the quinolinic arm per published frameworks. Practitioner may wish to consider inflammation as a driver.</w:t>
      </w:r>
    </w:p>
    <w:p>
      <w:pPr>
        <w:spacing w:after="60" w:before="120"/>
      </w:pPr>
      <w:r>
        <w:rPr>
          <w:rFonts w:ascii="Roboto" w:cs="Roboto" w:eastAsia="Roboto" w:hAnsi="Roboto"/>
          <w:b/>
          <w:bCs/>
          <w:color w:val="535B50"/>
          <w:sz w:val="22"/>
          <w:szCs w:val="22"/>
        </w:rPr>
        <w:t xml:space="preserve">5-HIAA</w:t>
      </w:r>
      <w:r>
        <w:rPr>
          <w:rFonts w:ascii="Roboto" w:cs="Roboto" w:eastAsia="Roboto" w:hAnsi="Roboto"/>
          <w:color w:val="000000"/>
          <w:sz w:val="22"/>
          <w:szCs w:val="22"/>
        </w:rPr>
        <w:t xml:space="preserve">   1.14 mmol/molCR</w:t>
      </w:r>
      <w:r>
        <w:rPr>
          <w:rFonts w:ascii="Roboto" w:cs="Roboto" w:eastAsia="Roboto" w:hAnsi="Roboto"/>
          <w:i/>
          <w:iCs/>
          <w:color w:val="666666"/>
          <w:sz w:val="20"/>
          <w:szCs w:val="20"/>
        </w:rPr>
        <w:t xml:space="preserve">   (ref: &lt;4.30)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Low-normal — consistent with reduced serotonin pathway throughput when read alongside the elevated quinolinic arm.</w:t>
      </w:r>
    </w:p>
    <w:p>
      <w:pPr>
        <w:spacing w:after="60" w:before="120"/>
      </w:pPr>
      <w:r>
        <w:rPr>
          <w:rFonts w:ascii="Roboto" w:cs="Roboto" w:eastAsia="Roboto" w:hAnsi="Roboto"/>
          <w:b/>
          <w:bCs/>
          <w:color w:val="535B50"/>
          <w:sz w:val="22"/>
          <w:szCs w:val="22"/>
        </w:rPr>
        <w:t xml:space="preserve">8-hydroxy-deoxyguanosine</w:t>
      </w:r>
      <w:r>
        <w:rPr>
          <w:rFonts w:ascii="Roboto" w:cs="Roboto" w:eastAsia="Roboto" w:hAnsi="Roboto"/>
          <w:color w:val="000000"/>
          <w:sz w:val="22"/>
          <w:szCs w:val="22"/>
        </w:rPr>
        <w:t xml:space="preserve">   3.80 umol/molCR</w:t>
      </w:r>
      <w:r>
        <w:rPr>
          <w:rFonts w:ascii="Roboto" w:cs="Roboto" w:eastAsia="Roboto" w:hAnsi="Roboto"/>
          <w:i/>
          <w:iCs/>
          <w:color w:val="666666"/>
          <w:sz w:val="20"/>
          <w:szCs w:val="20"/>
        </w:rPr>
        <w:t xml:space="preserve">   (ref: &lt;2.70)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reference — marker of oxidative DNA damage per published literature.</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antioxidant stack (vitamin C, NAC, resveratrol, milk thistle, CoQ10).</w:t>
      </w:r>
    </w:p>
    <w:p>
      <w:pPr>
        <w:spacing w:after="60" w:before="120"/>
      </w:pPr>
      <w:r>
        <w:rPr>
          <w:rFonts w:ascii="Roboto" w:cs="Roboto" w:eastAsia="Roboto" w:hAnsi="Roboto"/>
          <w:b/>
          <w:bCs/>
          <w:color w:val="535B50"/>
          <w:sz w:val="22"/>
          <w:szCs w:val="22"/>
        </w:rPr>
        <w:t xml:space="preserve">Leukotriene E4</w:t>
      </w:r>
      <w:r>
        <w:rPr>
          <w:rFonts w:ascii="Roboto" w:cs="Roboto" w:eastAsia="Roboto" w:hAnsi="Roboto"/>
          <w:color w:val="000000"/>
          <w:sz w:val="22"/>
          <w:szCs w:val="22"/>
        </w:rPr>
        <w:t xml:space="preserve">   195.00 pg/mgCR</w:t>
      </w:r>
      <w:r>
        <w:rPr>
          <w:rFonts w:ascii="Roboto" w:cs="Roboto" w:eastAsia="Roboto" w:hAnsi="Roboto"/>
          <w:i/>
          <w:iCs/>
          <w:color w:val="666666"/>
          <w:sz w:val="20"/>
          <w:szCs w:val="20"/>
        </w:rPr>
        <w:t xml:space="preserve">   (ref: &lt;100.00)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reference — pattern consistent with 5-LOX-mediated inflammation per published frameworks.</w:t>
      </w:r>
    </w:p>
    <w:p>
      <w:pPr>
        <w:spacing w:after="60"/>
      </w:pPr>
      <w:r>
        <w:rPr>
          <w:rFonts w:ascii="Roboto" w:cs="Roboto" w:eastAsia="Roboto" w:hAnsi="Roboto"/>
          <w:b/>
          <w:bCs/>
          <w:color w:val="535B50"/>
          <w:sz w:val="20"/>
          <w:szCs w:val="20"/>
        </w:rPr>
        <w:t xml:space="preserve">Relevance to formulation: </w:t>
      </w:r>
      <w:r>
        <w:rPr>
          <w:rFonts w:ascii="Roboto" w:cs="Roboto" w:eastAsia="Roboto" w:hAnsi="Roboto"/>
          <w:color w:val="000000"/>
          <w:sz w:val="20"/>
          <w:szCs w:val="20"/>
        </w:rPr>
        <w:t xml:space="preserve">Supports boswellia (5-LOX inhibitor mechanism) and broader anti-inflammatory stack.</w:t>
      </w:r>
    </w:p>
    <w:p>
      <w:pPr>
        <w:spacing w:after="60" w:before="120"/>
      </w:pPr>
      <w:r>
        <w:rPr>
          <w:rFonts w:ascii="Roboto" w:cs="Roboto" w:eastAsia="Roboto" w:hAnsi="Roboto"/>
          <w:b/>
          <w:bCs/>
          <w:color w:val="535B50"/>
          <w:sz w:val="22"/>
          <w:szCs w:val="22"/>
        </w:rPr>
        <w:t xml:space="preserve">5-Methylcytosine</w:t>
      </w:r>
      <w:r>
        <w:rPr>
          <w:rFonts w:ascii="Roboto" w:cs="Roboto" w:eastAsia="Roboto" w:hAnsi="Roboto"/>
          <w:color w:val="000000"/>
          <w:sz w:val="22"/>
          <w:szCs w:val="22"/>
        </w:rPr>
        <w:t xml:space="preserve">   68.00 mmol/molCR</w:t>
      </w:r>
      <w:r>
        <w:rPr>
          <w:rFonts w:ascii="Roboto" w:cs="Roboto" w:eastAsia="Roboto" w:hAnsi="Roboto"/>
          <w:i/>
          <w:iCs/>
          <w:color w:val="666666"/>
          <w:sz w:val="20"/>
          <w:szCs w:val="20"/>
        </w:rPr>
        <w:t xml:space="preserve">   (ref: 10.00-50.00)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reference — pattern consistent with elevated global DNA methylation turnover for practitioner consideration.</w:t>
      </w:r>
    </w:p>
    <w:p>
      <w:pPr>
        <w:spacing w:after="60" w:before="120"/>
      </w:pPr>
      <w:r>
        <w:rPr>
          <w:rFonts w:ascii="Roboto" w:cs="Roboto" w:eastAsia="Roboto" w:hAnsi="Roboto"/>
          <w:b/>
          <w:bCs/>
          <w:color w:val="535B50"/>
          <w:sz w:val="22"/>
          <w:szCs w:val="22"/>
        </w:rPr>
        <w:t xml:space="preserve">Phenylpyruvic Acid</w:t>
      </w:r>
      <w:r>
        <w:rPr>
          <w:rFonts w:ascii="Roboto" w:cs="Roboto" w:eastAsia="Roboto" w:hAnsi="Roboto"/>
          <w:color w:val="000000"/>
          <w:sz w:val="22"/>
          <w:szCs w:val="22"/>
        </w:rPr>
        <w:t xml:space="preserve">   4.50 mmol/molCR</w:t>
      </w:r>
      <w:r>
        <w:rPr>
          <w:rFonts w:ascii="Roboto" w:cs="Roboto" w:eastAsia="Roboto" w:hAnsi="Roboto"/>
          <w:i/>
          <w:iCs/>
          <w:color w:val="666666"/>
          <w:sz w:val="20"/>
          <w:szCs w:val="20"/>
        </w:rPr>
        <w:t xml:space="preserve">   (ref: &lt;2.00)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reference — pattern consistent with functional phenylalanine hydroxylase / cofactor demand per published frameworks.</w:t>
      </w:r>
    </w:p>
    <w:p>
      <w:pPr>
        <w:spacing w:after="60" w:before="120"/>
      </w:pPr>
      <w:r>
        <w:rPr>
          <w:rFonts w:ascii="Roboto" w:cs="Roboto" w:eastAsia="Roboto" w:hAnsi="Roboto"/>
          <w:b/>
          <w:bCs/>
          <w:color w:val="535B50"/>
          <w:sz w:val="22"/>
          <w:szCs w:val="22"/>
        </w:rPr>
        <w:t xml:space="preserve">2-Oxo-4-methiolbutyric Acid (KMBA)</w:t>
      </w:r>
      <w:r>
        <w:rPr>
          <w:rFonts w:ascii="Roboto" w:cs="Roboto" w:eastAsia="Roboto" w:hAnsi="Roboto"/>
          <w:color w:val="000000"/>
          <w:sz w:val="22"/>
          <w:szCs w:val="22"/>
        </w:rPr>
        <w:t xml:space="preserve">   3.20 mmol/molCR</w:t>
      </w:r>
      <w:r>
        <w:rPr>
          <w:rFonts w:ascii="Roboto" w:cs="Roboto" w:eastAsia="Roboto" w:hAnsi="Roboto"/>
          <w:i/>
          <w:iCs/>
          <w:color w:val="666666"/>
          <w:sz w:val="20"/>
          <w:szCs w:val="20"/>
        </w:rPr>
        <w:t xml:space="preserve">   (ref: &lt;1.50)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reference — pattern consistent with methionine metabolism strain per published frameworks.</w:t>
      </w:r>
    </w:p>
    <w:p>
      <w:pPr>
        <w:spacing w:after="60" w:before="120"/>
      </w:pPr>
      <w:r>
        <w:rPr>
          <w:rFonts w:ascii="Roboto" w:cs="Roboto" w:eastAsia="Roboto" w:hAnsi="Roboto"/>
          <w:b/>
          <w:bCs/>
          <w:color w:val="535B50"/>
          <w:sz w:val="22"/>
          <w:szCs w:val="22"/>
        </w:rPr>
        <w:t xml:space="preserve">Guanidinoacetic Acid</w:t>
      </w:r>
      <w:r>
        <w:rPr>
          <w:rFonts w:ascii="Roboto" w:cs="Roboto" w:eastAsia="Roboto" w:hAnsi="Roboto"/>
          <w:color w:val="000000"/>
          <w:sz w:val="22"/>
          <w:szCs w:val="22"/>
        </w:rPr>
        <w:t xml:space="preserve">   4.80 mmol/molCR</w:t>
      </w:r>
      <w:r>
        <w:rPr>
          <w:rFonts w:ascii="Roboto" w:cs="Roboto" w:eastAsia="Roboto" w:hAnsi="Roboto"/>
          <w:i/>
          <w:iCs/>
          <w:color w:val="666666"/>
          <w:sz w:val="20"/>
          <w:szCs w:val="20"/>
        </w:rPr>
        <w:t xml:space="preserve">   (ref: 0.50-3.00)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Above reference — pattern consistent with creatine synthesis pathway flux / methylation demand per published frameworks.</w:t>
      </w:r>
    </w:p>
    <w:p>
      <w:pPr>
        <w:spacing w:after="60" w:before="120"/>
      </w:pPr>
      <w:r>
        <w:rPr>
          <w:rFonts w:ascii="Roboto" w:cs="Roboto" w:eastAsia="Roboto" w:hAnsi="Roboto"/>
          <w:b/>
          <w:bCs/>
          <w:color w:val="535B50"/>
          <w:sz w:val="22"/>
          <w:szCs w:val="22"/>
        </w:rPr>
        <w:t xml:space="preserve">Adipic Acid</w:t>
      </w:r>
      <w:r>
        <w:rPr>
          <w:rFonts w:ascii="Roboto" w:cs="Roboto" w:eastAsia="Roboto" w:hAnsi="Roboto"/>
          <w:color w:val="000000"/>
          <w:sz w:val="22"/>
          <w:szCs w:val="22"/>
        </w:rPr>
        <w:t xml:space="preserve">   4.30 mmol/molCR</w:t>
      </w:r>
      <w:r>
        <w:rPr>
          <w:rFonts w:ascii="Roboto" w:cs="Roboto" w:eastAsia="Roboto" w:hAnsi="Roboto"/>
          <w:i/>
          <w:iCs/>
          <w:color w:val="666666"/>
          <w:sz w:val="20"/>
          <w:szCs w:val="20"/>
        </w:rPr>
        <w:t xml:space="preserve">   (ref: &lt;3.80)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Marginally above reference — pattern consistent with fatty acid oxidation strain or dietary contribution.</w:t>
      </w:r>
    </w:p>
    <w:p>
      <w:pPr>
        <w:spacing w:after="60" w:before="120"/>
      </w:pPr>
      <w:r>
        <w:rPr>
          <w:rFonts w:ascii="Roboto" w:cs="Roboto" w:eastAsia="Roboto" w:hAnsi="Roboto"/>
          <w:b/>
          <w:bCs/>
          <w:color w:val="535B50"/>
          <w:sz w:val="22"/>
          <w:szCs w:val="22"/>
        </w:rPr>
        <w:t xml:space="preserve">Pyroglutamic Acid</w:t>
      </w:r>
      <w:r>
        <w:rPr>
          <w:rFonts w:ascii="Roboto" w:cs="Roboto" w:eastAsia="Roboto" w:hAnsi="Roboto"/>
          <w:color w:val="000000"/>
          <w:sz w:val="22"/>
          <w:szCs w:val="22"/>
        </w:rPr>
        <w:t xml:space="preserve">   28.80 mmol/molCR</w:t>
      </w:r>
      <w:r>
        <w:rPr>
          <w:rFonts w:ascii="Roboto" w:cs="Roboto" w:eastAsia="Roboto" w:hAnsi="Roboto"/>
          <w:i/>
          <w:iCs/>
          <w:color w:val="666666"/>
          <w:sz w:val="20"/>
          <w:szCs w:val="20"/>
        </w:rPr>
        <w:t xml:space="preserve">   (ref: 4.50-33.00)</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Top end of range — pattern consistent with glutathione cycling under demand per published frameworks.</w:t>
      </w:r>
    </w:p>
    <w:p>
      <w:pPr>
        <w:spacing w:after="60" w:before="120"/>
      </w:pPr>
      <w:r>
        <w:rPr>
          <w:rFonts w:ascii="Roboto" w:cs="Roboto" w:eastAsia="Roboto" w:hAnsi="Roboto"/>
          <w:b/>
          <w:bCs/>
          <w:color w:val="535B50"/>
          <w:sz w:val="22"/>
          <w:szCs w:val="22"/>
        </w:rPr>
        <w:t xml:space="preserve">Cortisol (OA)</w:t>
      </w:r>
      <w:r>
        <w:rPr>
          <w:rFonts w:ascii="Roboto" w:cs="Roboto" w:eastAsia="Roboto" w:hAnsi="Roboto"/>
          <w:color w:val="000000"/>
          <w:sz w:val="22"/>
          <w:szCs w:val="22"/>
        </w:rPr>
        <w:t xml:space="preserve">   25.3 ug/gCR</w:t>
      </w:r>
      <w:r>
        <w:rPr>
          <w:rFonts w:ascii="Roboto" w:cs="Roboto" w:eastAsia="Roboto" w:hAnsi="Roboto"/>
          <w:i/>
          <w:iCs/>
          <w:color w:val="666666"/>
          <w:sz w:val="20"/>
          <w:szCs w:val="20"/>
        </w:rPr>
        <w:t xml:space="preserve">   (ref: 1.0-63.8)</w:t>
      </w:r>
    </w:p>
    <w:p>
      <w:pPr>
        <w:spacing w:after="60"/>
      </w:pPr>
      <w:r>
        <w:rPr>
          <w:rFonts w:ascii="Roboto" w:cs="Roboto" w:eastAsia="Roboto" w:hAnsi="Roboto"/>
          <w:b/>
          <w:bCs/>
          <w:color w:val="535B50"/>
          <w:sz w:val="20"/>
          <w:szCs w:val="20"/>
        </w:rPr>
        <w:t xml:space="preserve">Interpretation: </w:t>
      </w:r>
      <w:r>
        <w:rPr>
          <w:rFonts w:ascii="Roboto" w:cs="Roboto" w:eastAsia="Roboto" w:hAnsi="Roboto"/>
          <w:color w:val="000000"/>
          <w:sz w:val="20"/>
          <w:szCs w:val="20"/>
        </w:rPr>
        <w:t xml:space="preserve">Within reference.</w:t>
      </w:r>
    </w:p>
    <w:p>
      <w:pPr>
        <w:pBdr>
          <w:bottom w:val="single" w:color="C3AF88" w:sz="6" w:space="4"/>
        </w:pBdr>
        <w:spacing w:after="180" w:before="360"/>
      </w:pPr>
      <w:r>
        <w:rPr>
          <w:rFonts w:ascii="Roboto" w:cs="Roboto" w:eastAsia="Roboto" w:hAnsi="Roboto"/>
          <w:b/>
          <w:bCs/>
          <w:color w:val="535B50"/>
          <w:sz w:val="28"/>
          <w:szCs w:val="28"/>
        </w:rPr>
        <w:t xml:space="preserve">Section 3 — Diet and Lifestyle Considerations</w:t>
      </w:r>
    </w:p>
    <w:p>
      <w:pPr>
        <w:spacing w:after="240"/>
      </w:pPr>
      <w:r>
        <w:rPr>
          <w:rFonts w:ascii="Roboto" w:cs="Roboto" w:eastAsia="Roboto" w:hAnsi="Roboto"/>
          <w:b w:val="false"/>
          <w:bCs w:val="false"/>
          <w:color w:val="000000"/>
          <w:sz w:val="22"/>
          <w:szCs w:val="22"/>
        </w:rPr>
        <w:t xml:space="preserve">The following considerations are surfaced for practitioner-led discussion. They sit alongside the recommended formulation rather than substituting for it.</w:t>
      </w:r>
    </w:p>
    <w:p>
      <w:pPr>
        <w:spacing w:after="60" w:before="120"/>
      </w:pPr>
      <w:r>
        <w:rPr>
          <w:rFonts w:ascii="Roboto" w:cs="Roboto" w:eastAsia="Roboto" w:hAnsi="Roboto"/>
          <w:b/>
          <w:bCs/>
          <w:color w:val="535B50"/>
          <w:sz w:val="22"/>
          <w:szCs w:val="22"/>
        </w:rPr>
        <w:t xml:space="preserve">Environmental exposure review</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The practitioner may wish to discuss with the patient possible sources of benzene/xylene exposure (fuel handling, paint/solvent use, vehicle exhaust, indoor air quality, cigarette smoke including passive) given the elevated t,t-muconic and methylhippuric markers.</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Reducing the input is foundational; supplements support clearance but cannot offset ongoing exposure.</w:t>
      </w:r>
    </w:p>
    <w:p>
      <w:pPr>
        <w:spacing w:after="60" w:before="120"/>
      </w:pPr>
      <w:r>
        <w:rPr>
          <w:rFonts w:ascii="Roboto" w:cs="Roboto" w:eastAsia="Roboto" w:hAnsi="Roboto"/>
          <w:b/>
          <w:bCs/>
          <w:color w:val="535B50"/>
          <w:sz w:val="22"/>
          <w:szCs w:val="22"/>
        </w:rPr>
        <w:t xml:space="preserve">Personal care / preservative review</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Practitioner may wish to review cosmetic/personal care products and processed food intake for paraben and benzoate preservatives, given the elevated 4-HBA and benzoic acid markers.</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Possible contributing factor for practitioner consideration.</w:t>
      </w:r>
    </w:p>
    <w:p>
      <w:pPr>
        <w:spacing w:after="60" w:before="120"/>
      </w:pPr>
      <w:r>
        <w:rPr>
          <w:rFonts w:ascii="Roboto" w:cs="Roboto" w:eastAsia="Roboto" w:hAnsi="Roboto"/>
          <w:b/>
          <w:bCs/>
          <w:color w:val="535B50"/>
          <w:sz w:val="22"/>
          <w:szCs w:val="22"/>
        </w:rPr>
        <w:t xml:space="preserve">Dietary polyphenols and cruciferous vegetables</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Practitioner may wish to discuss inclusion of cruciferous vegetables (broccoli, kale, brussels sprouts) and polyphenol-rich foods to support endogenous Phase II / Nrf2 pathways.</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Supports the same pathways targeted by the proposed formulation.</w:t>
      </w:r>
    </w:p>
    <w:p>
      <w:pPr>
        <w:spacing w:after="60" w:before="120"/>
      </w:pPr>
      <w:r>
        <w:rPr>
          <w:rFonts w:ascii="Roboto" w:cs="Roboto" w:eastAsia="Roboto" w:hAnsi="Roboto"/>
          <w:b/>
          <w:bCs/>
          <w:color w:val="535B50"/>
          <w:sz w:val="22"/>
          <w:szCs w:val="22"/>
        </w:rPr>
        <w:t xml:space="preserve">Hydration and renal clearance</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Adequate hydration supports urinary clearance of conjugated xenobiotics.</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Routine supportive consideration.</w:t>
      </w:r>
    </w:p>
    <w:p>
      <w:pPr>
        <w:spacing w:after="60" w:before="120"/>
      </w:pPr>
      <w:r>
        <w:rPr>
          <w:rFonts w:ascii="Roboto" w:cs="Roboto" w:eastAsia="Roboto" w:hAnsi="Roboto"/>
          <w:b/>
          <w:bCs/>
          <w:color w:val="535B50"/>
          <w:sz w:val="22"/>
          <w:szCs w:val="22"/>
        </w:rPr>
        <w:t xml:space="preserve">Tryptophan / protein adequacy</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Given the kynurenine shunt and low 5-HIAA, practitioner may wish to consider whether dietary tryptophan / protein adequacy and inflammation context need addressing alongside formulation.</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Pattern consistent with inflammation-driven IDO activation; addressing the inflammatory driver supports the downstream marker.</w:t>
      </w:r>
    </w:p>
    <w:p>
      <w:pPr>
        <w:spacing w:after="60" w:before="120"/>
      </w:pPr>
      <w:r>
        <w:rPr>
          <w:rFonts w:ascii="Roboto" w:cs="Roboto" w:eastAsia="Roboto" w:hAnsi="Roboto"/>
          <w:b/>
          <w:bCs/>
          <w:color w:val="535B50"/>
          <w:sz w:val="22"/>
          <w:szCs w:val="22"/>
        </w:rPr>
        <w:t xml:space="preserve">Sleep and stress hygiene</w:t>
      </w:r>
    </w:p>
    <w:p>
      <w:pPr>
        <w:spacing w:after="60"/>
      </w:pPr>
      <w:r>
        <w:rPr>
          <w:rFonts w:ascii="Roboto" w:cs="Roboto" w:eastAsia="Roboto" w:hAnsi="Roboto"/>
          <w:b/>
          <w:bCs/>
          <w:color w:val="535B50"/>
          <w:sz w:val="20"/>
          <w:szCs w:val="20"/>
        </w:rPr>
        <w:t xml:space="preserve">Consideration: </w:t>
      </w:r>
      <w:r>
        <w:rPr>
          <w:rFonts w:ascii="Roboto" w:cs="Roboto" w:eastAsia="Roboto" w:hAnsi="Roboto"/>
          <w:color w:val="000000"/>
          <w:sz w:val="20"/>
          <w:szCs w:val="20"/>
        </w:rPr>
        <w:t xml:space="preserve">Given mitochondrial and oxidative stress patterns, sleep and stress-load review for practitioner discussion.</w:t>
      </w:r>
    </w:p>
    <w:p>
      <w:pPr>
        <w:spacing w:after="60"/>
      </w:pPr>
      <w:r>
        <w:rPr>
          <w:rFonts w:ascii="Roboto" w:cs="Roboto" w:eastAsia="Roboto" w:hAnsi="Roboto"/>
          <w:b/>
          <w:bCs/>
          <w:color w:val="535B50"/>
          <w:sz w:val="20"/>
          <w:szCs w:val="20"/>
        </w:rPr>
        <w:t xml:space="preserve">Rationale: </w:t>
      </w:r>
      <w:r>
        <w:rPr>
          <w:rFonts w:ascii="Roboto" w:cs="Roboto" w:eastAsia="Roboto" w:hAnsi="Roboto"/>
          <w:color w:val="000000"/>
          <w:sz w:val="20"/>
          <w:szCs w:val="20"/>
        </w:rPr>
        <w:t xml:space="preserve">Supportive context for mitochondrial recovery.</w:t>
      </w:r>
    </w:p>
    <w:p>
      <w:pPr>
        <w:pBdr>
          <w:bottom w:val="single" w:color="C3AF88" w:sz="6" w:space="4"/>
        </w:pBdr>
        <w:spacing w:after="180" w:before="360"/>
      </w:pPr>
      <w:r>
        <w:rPr>
          <w:rFonts w:ascii="Roboto" w:cs="Roboto" w:eastAsia="Roboto" w:hAnsi="Roboto"/>
          <w:b/>
          <w:bCs/>
          <w:color w:val="535B50"/>
          <w:sz w:val="28"/>
          <w:szCs w:val="28"/>
        </w:rPr>
        <w:t xml:space="preserve">Section 4 — Recommended Formulation Logic</w:t>
      </w:r>
    </w:p>
    <w:p>
      <w:pPr>
        <w:spacing w:after="180" w:before="240"/>
      </w:pPr>
      <w:r>
        <w:rPr>
          <w:rFonts w:ascii="Roboto" w:cs="Roboto" w:eastAsia="Roboto" w:hAnsi="Roboto"/>
          <w:b/>
          <w:bCs/>
          <w:color w:val="535B50"/>
          <w:sz w:val="24"/>
          <w:szCs w:val="24"/>
        </w:rPr>
        <w:t xml:space="preserve">Overall strategy</w:t>
      </w:r>
    </w:p>
    <w:p>
      <w:pPr>
        <w:spacing w:after="120"/>
      </w:pPr>
      <w:r>
        <w:rPr>
          <w:rFonts w:ascii="Roboto" w:cs="Roboto" w:eastAsia="Roboto" w:hAnsi="Roboto"/>
          <w:b w:val="false"/>
          <w:bCs w:val="false"/>
          <w:color w:val="000000"/>
          <w:sz w:val="22"/>
          <w:szCs w:val="22"/>
        </w:rPr>
        <w:t xml:space="preserve">Five-axis allocation: (1) anti-inflammatory core targeting NF-κB and 5-LOX (curcumin + boswellia + quercetin + resveratrol) for the leukotriene/8-OHdG/IDO-driven inflammation; (2) antioxidant/redox + xenobiotic Phase II (NAC, milk thistle, calcium D-glucarate, vitamin C) for the benzene/xylene/paraben pattern and pyroglutamic top-of-range; (3) mitochondrial/cardiovascular (CoQ10, alpha-lipoic acid) for the TCA accumulation pattern and elevated mevalonolactone; (4) B-vitamins/methylation (P5P, methylcobalamin, riboflavin) for the kynurenine pathway P5P demand and α-KGDH cofactor demand — P5P is foundational given xanthurenic elevation; (5) gastrointestinal/minerals (berberine, zinc citrate) for the dysbiosis pattern and broad cofactor support. Six-step procedure executed: areas ranked; foundationals placed at ≥75% clinical dose for primary/secondary axes (curcumin, NAC, milk thistle, CoQ10, P5P, berberine); layer pass cycled in priority order adding boswellia, calcium D-glucarate, alpha-lipoic acid, methylcobalamin, quercetin, resveratrol, vitamin C, riboflavin, zinc citrate; final ingredient backed out to land within 710-granule budget.</w:t>
      </w:r>
    </w:p>
    <w:p>
      <w:pPr>
        <w:spacing w:after="180" w:before="240"/>
      </w:pPr>
      <w:r>
        <w:rPr>
          <w:rFonts w:ascii="Roboto" w:cs="Roboto" w:eastAsia="Roboto" w:hAnsi="Roboto"/>
          <w:b/>
          <w:bCs/>
          <w:color w:val="535B50"/>
          <w:sz w:val="24"/>
          <w:szCs w:val="24"/>
        </w:rPr>
        <w:t xml:space="preserve">What was intentionally included, and why</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Curcumin (turmeric extract): NF-κB-directed foundational anti-inflammatory for leukotriene/8-OHdG inflammation pattern; published RCT evidence base.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Boswellia: 5-LOX inhibitor mechanism directly relevant to elevated leukotriene E4.</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Quercetin: layer anti-inflammatory + mast cell stabilising + buffering of microbial polyphenol metabolites pattern.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Resveratrol: SIRT/Nrf2 axis and antioxidant support given 8-OHdG elevation; capped at 150 mg per Library regulatory limit.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NAC: glutathione precursor — central to xenobiotic/benzene Phase II support and the pyroglutamic top-of-range pattern.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Milk thistle (silymarin): Nrf2-mediated Phase II upregulation and hepatic Phase II conjugation support given xenobiotic load.</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Calcium D-glucarate: glucuronidation support given the benzene/paraben pattern; well-tolerated at moderate dose.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Vitamin C: aqueous antioxidant supporting redox and Phase I/II balance.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CoQ10: mitochondrial electron transport support given mevalonolactone elevation and TCA accumulation.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Alpha-lipoic acid: cofactor for α-KGDH and pyruvate dehydrogenase complexes, directly relevant to 2-oxoglutaric elevation; redox-active.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Pyridoxal 5-phosphate (P5P): foundational for kynurenine pathway redirection — xanthurenic elevation indicates functional B6 demand.</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Methylcobalamin: methylation cofactor support; supports overall methyl-pool given KMBA and guanidinoacetic elevation.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Riboflavin: cofactor for α-KGDH (FAD-dependent) and for B6 activation.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Berberine: gastrointestinal axis support given the dysbiosis fingerprint (arabinose, furan derivatives, microbial polyphenol metabolites).</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Zinc citrate: broad cofactor support including immune modulation and IDO-pathway context; modest dose.</w:t>
      </w:r>
    </w:p>
    <w:p>
      <w:pPr>
        <w:spacing w:after="180" w:before="240"/>
      </w:pPr>
      <w:r>
        <w:rPr>
          <w:rFonts w:ascii="Roboto" w:cs="Roboto" w:eastAsia="Roboto" w:hAnsi="Roboto"/>
          <w:b/>
          <w:bCs/>
          <w:color w:val="535B50"/>
          <w:sz w:val="24"/>
          <w:szCs w:val="24"/>
        </w:rPr>
        <w:t xml:space="preserve">What was intentionally excluded, and why</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Iron-containing ingredients — Not indicated by the panel; OA panel does not show iron deficiency markers; standard precaution against unnecessary iron in an inflammatory-pattern patient.</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High-dose vitamin A (retinol) — Not indicated by panel findings; would add load without clear rationale.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Selenium — Panel does not provide red-cell or whole-blood selenium status — not indicated without baseline. Practitioner may consider separately if clinical context supports.</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5-HTP — Low 5-HIAA pattern present, but in the absence of practitioner clinical notes confirming the absence of serotonergic medications, conservative practice is to defer to practitioner. Surfaced as a standalone consideration.</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Iodine — Not indicated by this panel; no thyroid context provided.</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Copper — No Cu:Zn data provided; precautionary exclusion given zinc inclusion. Avoids any inadvertent copper loading.</w:t>
      </w:r>
    </w:p>
    <w:p>
      <w:pPr>
        <w:spacing w:after="240"/>
      </w:pPr>
      <w:r>
        <w:rPr>
          <w:rFonts w:ascii="Roboto" w:cs="Roboto" w:eastAsia="Roboto" w:hAnsi="Roboto"/>
          <w:b w:val="false"/>
          <w:bCs w:val="false"/>
          <w:color w:val="000000"/>
          <w:sz w:val="22"/>
          <w:szCs w:val="22"/>
        </w:rPr>
        <w:t xml:space="preserve">The detailed ingredient-by-ingredient formulation, including doses, granule counts, and per-ingredient rationale, is in the companion Recommended Formulation Schedule (.xlsx).</w:t>
      </w:r>
    </w:p>
    <w:p>
      <w:pPr>
        <w:pBdr>
          <w:bottom w:val="single" w:color="C3AF88" w:sz="6" w:space="4"/>
        </w:pBdr>
        <w:spacing w:after="180" w:before="360"/>
      </w:pPr>
      <w:r>
        <w:rPr>
          <w:rFonts w:ascii="Roboto" w:cs="Roboto" w:eastAsia="Roboto" w:hAnsi="Roboto"/>
          <w:b/>
          <w:bCs/>
          <w:color w:val="535B50"/>
          <w:sz w:val="28"/>
          <w:szCs w:val="28"/>
        </w:rPr>
        <w:t xml:space="preserve">Section 5 — Contraindication and Interaction Considerations</w:t>
      </w:r>
    </w:p>
    <w:p>
      <w:pPr>
        <w:spacing w:after="180" w:before="240"/>
      </w:pPr>
      <w:r>
        <w:rPr>
          <w:rFonts w:ascii="Roboto" w:cs="Roboto" w:eastAsia="Roboto" w:hAnsi="Roboto"/>
          <w:b/>
          <w:bCs/>
          <w:color w:val="535B50"/>
          <w:sz w:val="24"/>
          <w:szCs w:val="24"/>
        </w:rPr>
        <w:t xml:space="preserve">Contraindication flags</w:t>
      </w:r>
    </w:p>
    <w:p>
      <w:pPr>
        <w:spacing w:after="120"/>
      </w:pPr>
      <w:r>
        <w:rPr>
          <w:rFonts w:ascii="Roboto" w:cs="Roboto" w:eastAsia="Roboto" w:hAnsi="Roboto"/>
          <w:b w:val="false"/>
          <w:bCs w:val="false"/>
          <w:color w:val="000000"/>
          <w:sz w:val="22"/>
          <w:szCs w:val="22"/>
        </w:rPr>
        <w:t xml:space="preserve">4 contraindication or interaction consideration(s) raised for practitioner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3"/>
        <w:gridCol w:w="1985"/>
        <w:gridCol w:w="4151"/>
        <w:gridCol w:w="1624"/>
      </w:tblGrid>
      <w:tr>
        <w:trPr>
          <w:tblHeader/>
        </w:trPr>
        <w:tc>
          <w:tcPr>
            <w:tcW w:type="dxa" w:w="1263"/>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Severity</w:t>
            </w:r>
          </w:p>
        </w:tc>
        <w:tc>
          <w:tcPr>
            <w:tcW w:type="dxa" w:w="1985"/>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Flag</w:t>
            </w:r>
          </w:p>
        </w:tc>
        <w:tc>
          <w:tcPr>
            <w:tcW w:type="dxa" w:w="4151"/>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Description</w:t>
            </w:r>
          </w:p>
        </w:tc>
        <w:tc>
          <w:tcPr>
            <w:tcW w:type="dxa" w:w="1624"/>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Affected Ingredient(s)</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666666"/>
                <w:sz w:val="20"/>
                <w:szCs w:val="20"/>
              </w:rPr>
              <w:t xml:space="preserve">informational</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medication_context_not_provided</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No medication list was supplied with the submission. Standard checks have been run against the proposed ingredients alone. Specifically: 5-HTP excluded pending serotonergic medication review; curcumin and resveratrol carry bleeding-risk caveats with anticoagulants; berberine has CYP3A4/CYP2D6 interaction potential and additive glucose-lowering risk; vitamin C caution with haemochromatosis.</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666666"/>
                <w:sz w:val="20"/>
                <w:szCs w:val="20"/>
              </w:rPr>
              <w:t xml:space="preserve">monitor</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B6_neuropathy_monitoring</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P5P 15 mg supplied in pod is well below the 50 mg neuropathy-caution threshold, but practitioner should be aware of cumulative B6 intake from all sources and review for any sensory symptoms.</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666666"/>
                <w:sz w:val="20"/>
                <w:szCs w:val="20"/>
              </w:rPr>
              <w:t xml:space="preserve">monitor</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zinc_copper_ratio_monitoring</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Zinc citrate ~25 mg elemental included; copper precautionarily excluded. If zinc supplementation continues beyond 3 months, practitioner may wish to monitor copper status.</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r>
      <w:tr>
        <w:tc>
          <w:tcPr>
            <w:tcW w:type="dxa" w:w="1263"/>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C3AF88"/>
                <w:sz w:val="20"/>
                <w:szCs w:val="20"/>
              </w:rPr>
              <w:t xml:space="preserve">moderate</w:t>
            </w:r>
          </w:p>
        </w:tc>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berberine_glucose_and_pregnancy</w:t>
            </w:r>
          </w:p>
        </w:tc>
        <w:tc>
          <w:tcPr>
            <w:tcW w:type="dxa" w:w="4151"/>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Berberine contraindicated in pregnancy; additive effect with glucose-lowering medications; CYP3A4/CYP2D6 interaction potential.</w:t>
            </w:r>
          </w:p>
        </w:tc>
        <w:tc>
          <w:tcPr>
            <w:tcW w:type="dxa" w:w="1624"/>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r>
    </w:tbl>
    <w:p>
      <w:pPr>
        <w:spacing w:after="180" w:before="240"/>
      </w:pPr>
      <w:r>
        <w:rPr>
          <w:rFonts w:ascii="Roboto" w:cs="Roboto" w:eastAsia="Roboto" w:hAnsi="Roboto"/>
          <w:b/>
          <w:bCs/>
          <w:color w:val="535B50"/>
          <w:sz w:val="24"/>
          <w:szCs w:val="24"/>
        </w:rPr>
        <w:t xml:space="preserve">Binding exclusions applied</w:t>
      </w:r>
    </w:p>
    <w:p>
      <w:pPr>
        <w:spacing w:after="120"/>
      </w:pPr>
      <w:r>
        <w:rPr>
          <w:rFonts w:ascii="Roboto" w:cs="Roboto" w:eastAsia="Roboto" w:hAnsi="Roboto"/>
          <w:b w:val="false"/>
          <w:bCs w:val="false"/>
          <w:color w:val="000000"/>
          <w:sz w:val="22"/>
          <w:szCs w:val="22"/>
        </w:rPr>
        <w:t xml:space="preserve">3 binding exclusion(s) applied. These are ingredients held out of the pod because the panel does not measure the data needed to confirm safety, or the panel data crossed a hard exclusion threshold.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3429"/>
        <w:gridCol w:w="3610"/>
      </w:tblGrid>
      <w:tr>
        <w:trPr>
          <w:tblHeader/>
        </w:trPr>
        <w:tc>
          <w:tcPr>
            <w:tcW w:type="dxa" w:w="1985"/>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Ingredient</w:t>
            </w:r>
          </w:p>
        </w:tc>
        <w:tc>
          <w:tcPr>
            <w:tcW w:type="dxa" w:w="3429"/>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Trigger</w:t>
            </w:r>
          </w:p>
        </w:tc>
        <w:tc>
          <w:tcPr>
            <w:tcW w:type="dxa" w:w="3610"/>
            <w:tcBorders>
              <w:top w:val="single" w:color="CCCCCC" w:sz="4"/>
              <w:left w:val="single" w:color="CCCCCC" w:sz="4"/>
              <w:bottom w:val="single" w:color="CCCCCC" w:sz="4"/>
              <w:right w:val="single" w:color="CCCCCC" w:sz="4"/>
            </w:tcBorders>
            <w:shd w:fill="E2E0D9" w:color="auto" w:val="clear"/>
            <w:tcMar>
              <w:top w:type="dxa" w:w="100"/>
              <w:left w:type="dxa" w:w="140"/>
              <w:bottom w:type="dxa" w:w="100"/>
              <w:right w:type="dxa" w:w="140"/>
            </w:tcMar>
          </w:tcPr>
          <w:p>
            <w:r>
              <w:rPr>
                <w:rFonts w:ascii="Roboto" w:cs="Roboto" w:eastAsia="Roboto" w:hAnsi="Roboto"/>
                <w:b/>
                <w:bCs/>
                <w:color w:val="535B50"/>
                <w:sz w:val="20"/>
                <w:szCs w:val="20"/>
              </w:rPr>
              <w:t xml:space="preserve">Practitioner Note</w:t>
            </w:r>
          </w:p>
        </w:tc>
      </w:tr>
      <w:tr>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000000"/>
                <w:sz w:val="20"/>
                <w:szCs w:val="20"/>
              </w:rPr>
              <w:t xml:space="preserve">—</w:t>
            </w:r>
          </w:p>
        </w:tc>
        <w:tc>
          <w:tcPr>
            <w:tcW w:type="dxa" w:w="3429"/>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c>
          <w:tcPr>
            <w:tcW w:type="dxa" w:w="361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Copper has been precautionarily excluded from the formulation given concurrent zinc inclusion and the absence of plasma copper / Cu:Zn ratio data on this panel. The practitioner may wish to monitor copper status if zinc supplementation continues beyond ~3 months.</w:t>
            </w:r>
          </w:p>
        </w:tc>
      </w:tr>
      <w:tr>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000000"/>
                <w:sz w:val="20"/>
                <w:szCs w:val="20"/>
              </w:rPr>
              <w:t xml:space="preserve">—</w:t>
            </w:r>
          </w:p>
        </w:tc>
        <w:tc>
          <w:tcPr>
            <w:tcW w:type="dxa" w:w="3429"/>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c>
          <w:tcPr>
            <w:tcW w:type="dxa" w:w="361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Selenium has been deferred in the absence of selenium status data — for practitioner consideration if clinical context supports.</w:t>
            </w:r>
          </w:p>
        </w:tc>
      </w:tr>
      <w:tr>
        <w:tc>
          <w:tcPr>
            <w:tcW w:type="dxa" w:w="1985"/>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bCs/>
                <w:color w:val="000000"/>
                <w:sz w:val="20"/>
                <w:szCs w:val="20"/>
              </w:rPr>
              <w:t xml:space="preserve">—</w:t>
            </w:r>
          </w:p>
        </w:tc>
        <w:tc>
          <w:tcPr>
            <w:tcW w:type="dxa" w:w="3429"/>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w:t>
            </w:r>
          </w:p>
        </w:tc>
        <w:tc>
          <w:tcPr>
            <w:tcW w:type="dxa" w:w="361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Roboto" w:cs="Roboto" w:eastAsia="Roboto" w:hAnsi="Roboto"/>
                <w:b w:val="false"/>
                <w:bCs w:val="false"/>
                <w:color w:val="000000"/>
                <w:sz w:val="20"/>
                <w:szCs w:val="20"/>
              </w:rPr>
              <w:t xml:space="preserve">Iron has not been included given the absence of iron studies and the inflammatory pattern — practitioner to assess iron status separately.</w:t>
            </w:r>
          </w:p>
        </w:tc>
      </w:tr>
    </w:tbl>
    <w:p>
      <w:pPr>
        <w:pBdr>
          <w:bottom w:val="single" w:color="C3AF88" w:sz="6" w:space="4"/>
        </w:pBdr>
        <w:spacing w:after="180" w:before="360"/>
      </w:pPr>
      <w:r>
        <w:rPr>
          <w:rFonts w:ascii="Roboto" w:cs="Roboto" w:eastAsia="Roboto" w:hAnsi="Roboto"/>
          <w:b/>
          <w:bCs/>
          <w:color w:val="535B50"/>
          <w:sz w:val="28"/>
          <w:szCs w:val="28"/>
        </w:rPr>
        <w:t xml:space="preserve">Section 6 — Monitoring and Follow-Up Considerations</w:t>
      </w:r>
    </w:p>
    <w:p>
      <w:pPr>
        <w:spacing w:after="120"/>
      </w:pPr>
      <w:r>
        <w:rPr>
          <w:rFonts w:ascii="Roboto" w:cs="Roboto" w:eastAsia="Roboto" w:hAnsi="Roboto"/>
          <w:b w:val="false"/>
          <w:bCs w:val="false"/>
          <w:color w:val="000000"/>
          <w:sz w:val="22"/>
          <w:szCs w:val="22"/>
        </w:rPr>
        <w:t xml:space="preserve">A clinical follow-up timeframe is determined by the treating practitioner. Repeat OA testing at a clinically appropriate interval may be considered to track xenobiotic markers, kynurenine pathway ratios, and TCA cycle intermediates.</w:t>
      </w:r>
    </w:p>
    <w:p>
      <w:pPr>
        <w:spacing w:after="180" w:before="240"/>
      </w:pPr>
      <w:r>
        <w:rPr>
          <w:rFonts w:ascii="Roboto" w:cs="Roboto" w:eastAsia="Roboto" w:hAnsi="Roboto"/>
          <w:b/>
          <w:bCs/>
          <w:color w:val="535B50"/>
          <w:sz w:val="24"/>
          <w:szCs w:val="24"/>
        </w:rPr>
        <w:t xml:space="preserve">Markers for practitioner consideration at follow-up</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t,t-Muconic acid and 3-methylhippuric acid (xenobiotic load)</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Quinolinic, kynurenic, xanthurenic and 5-HIAA (kynurenine pathway and tryptophan handling)</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Isocitric and 2-oxoglutaric (TCA cycle response)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8-OHdG and Leukotriene E4 (inflammation and oxidative DNA damage)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Arabinose and dysbiosis markers (gut response)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Pyroglutamic acid (glutathione cycling)</w:t>
      </w:r>
    </w:p>
    <w:p>
      <w:pPr>
        <w:spacing w:after="120" w:before="240"/>
      </w:pPr>
      <w:r>
        <w:rPr>
          <w:rFonts w:ascii="Roboto" w:cs="Roboto" w:eastAsia="Roboto" w:hAnsi="Roboto"/>
          <w:i/>
          <w:iCs/>
          <w:color w:val="666666"/>
          <w:sz w:val="20"/>
          <w:szCs w:val="20"/>
        </w:rPr>
        <w:t xml:space="preserve">Re-testing of priority markers may be considered at clinically appropriate intervals.</w:t>
      </w:r>
    </w:p>
    <w:p>
      <w:pPr>
        <w:pBdr>
          <w:bottom w:val="single" w:color="C3AF88" w:sz="6" w:space="4"/>
        </w:pBdr>
        <w:spacing w:after="180" w:before="360"/>
      </w:pPr>
      <w:r>
        <w:rPr>
          <w:rFonts w:ascii="Roboto" w:cs="Roboto" w:eastAsia="Roboto" w:hAnsi="Roboto"/>
          <w:b/>
          <w:bCs/>
          <w:color w:val="535B50"/>
          <w:sz w:val="28"/>
          <w:szCs w:val="28"/>
        </w:rPr>
        <w:t xml:space="preserve">Section 7 — Areas of Strength</w:t>
      </w:r>
    </w:p>
    <w:p>
      <w:pPr>
        <w:spacing w:after="120"/>
      </w:pPr>
      <w:r>
        <w:rPr>
          <w:rFonts w:ascii="Roboto" w:cs="Roboto" w:eastAsia="Roboto" w:hAnsi="Roboto"/>
          <w:b w:val="false"/>
          <w:bCs w:val="false"/>
          <w:color w:val="000000"/>
          <w:sz w:val="22"/>
          <w:szCs w:val="22"/>
        </w:rPr>
        <w:t xml:space="preserve">The following 6 finding(s) on this panel are within reference and are surfaced as areas of clinical strength to contextualise the abnormal findings above.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Cortisol within reference range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Dopamine pathway markers (HVA, DOPAC, VMA, MHPG) within reference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MMA and FIGLU within reference suggesting adequate B12/folate at the basic methylation step</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Glutathione cycling (pyroglutamic, NAC) within range though under pressure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Carnitine fatty acid oxidation markers largely within range</w:t>
      </w:r>
    </w:p>
    <w:p>
      <w:pPr>
        <w:spacing w:after="60"/>
      </w:pPr>
      <w:r>
        <w:rPr>
          <w:rFonts w:ascii="Roboto" w:cs="Roboto" w:eastAsia="Roboto" w:hAnsi="Roboto"/>
          <w:b/>
          <w:bCs/>
          <w:color w:val="C3AF88"/>
          <w:sz w:val="22"/>
          <w:szCs w:val="22"/>
        </w:rPr>
        <w:t xml:space="preserve">• </w:t>
      </w:r>
      <w:r>
        <w:rPr>
          <w:rFonts w:ascii="Roboto" w:cs="Roboto" w:eastAsia="Roboto" w:hAnsi="Roboto"/>
          <w:color w:val="000000"/>
          <w:sz w:val="20"/>
          <w:szCs w:val="20"/>
        </w:rPr>
        <w:t xml:space="preserve">Glycolic, glyceric, oxalic within reference</w:t>
      </w:r>
    </w:p>
    <w:p>
      <w:pPr>
        <w:pBdr>
          <w:bottom w:val="single" w:color="C3AF88" w:sz="6" w:space="4"/>
        </w:pBdr>
        <w:spacing w:after="180" w:before="360"/>
      </w:pPr>
      <w:r>
        <w:rPr>
          <w:rFonts w:ascii="Roboto" w:cs="Roboto" w:eastAsia="Roboto" w:hAnsi="Roboto"/>
          <w:b/>
          <w:bCs/>
          <w:color w:val="535B50"/>
          <w:sz w:val="28"/>
          <w:szCs w:val="28"/>
        </w:rPr>
        <w:t xml:space="preserve">References</w:t>
      </w:r>
    </w:p>
    <w:p>
      <w:pPr>
        <w:spacing w:after="240"/>
      </w:pPr>
      <w:r>
        <w:rPr>
          <w:rFonts w:ascii="Roboto" w:cs="Roboto" w:eastAsia="Roboto" w:hAnsi="Roboto"/>
          <w:b w:val="false"/>
          <w:bCs w:val="false"/>
          <w:color w:val="000000"/>
          <w:sz w:val="22"/>
          <w:szCs w:val="22"/>
        </w:rPr>
        <w:t xml:space="preserve">Key published studies cited by the clinical decision support system in support of each formulation decision. Citations should be independently verified by the reviewing practitioner before clinical reliance. PMIDs and DOIs can be confirmed via PubMed (pubmed.ncbi.nlm.nih.gov).</w:t>
      </w:r>
    </w:p>
    <w:p>
      <w:pPr>
        <w:spacing w:after="120"/>
      </w:pPr>
      <w:r>
        <w:rPr>
          <w:rFonts w:ascii="Roboto" w:cs="Roboto" w:eastAsia="Roboto" w:hAnsi="Roboto"/>
          <w:b/>
          <w:bCs/>
          <w:color w:val="C3AF88"/>
          <w:sz w:val="22"/>
          <w:szCs w:val="22"/>
        </w:rPr>
        <w:t xml:space="preserve">[1]</w:t>
      </w:r>
      <w:r>
        <w:rPr>
          <w:rFonts w:ascii="Roboto" w:cs="Roboto" w:eastAsia="Roboto" w:hAnsi="Roboto"/>
          <w:color w:val="000000"/>
          <w:sz w:val="22"/>
          <w:szCs w:val="22"/>
        </w:rPr>
        <w:t xml:space="preserve">  Hewlings SJ &amp; Kalman DS (2017). Curcumin: A Review of Its Effects on Human Health. Foods.</w:t>
      </w:r>
      <w:r>
        <w:rPr>
          <w:rFonts w:ascii="Roboto" w:cs="Roboto" w:eastAsia="Roboto" w:hAnsi="Roboto"/>
          <w:i/>
          <w:iCs/>
          <w:color w:val="000000"/>
          <w:sz w:val="18"/>
          <w:szCs w:val="18"/>
        </w:rPr>
        <w:t xml:space="preserve">  (Turmeric (curcumin))</w:t>
      </w:r>
    </w:p>
    <w:p>
      <w:pPr>
        <w:spacing w:after="120"/>
      </w:pPr>
      <w:r>
        <w:rPr>
          <w:rFonts w:ascii="Roboto" w:cs="Roboto" w:eastAsia="Roboto" w:hAnsi="Roboto"/>
          <w:b/>
          <w:bCs/>
          <w:color w:val="C3AF88"/>
          <w:sz w:val="22"/>
          <w:szCs w:val="22"/>
        </w:rPr>
        <w:t xml:space="preserve">[2]</w:t>
      </w:r>
      <w:r>
        <w:rPr>
          <w:rFonts w:ascii="Roboto" w:cs="Roboto" w:eastAsia="Roboto" w:hAnsi="Roboto"/>
          <w:color w:val="000000"/>
          <w:sz w:val="22"/>
          <w:szCs w:val="22"/>
        </w:rPr>
        <w:t xml:space="preserve">  Ammon HPT (2006). Boswellic acids in chronic inflammatory diseases. Planta Medica.</w:t>
      </w:r>
      <w:r>
        <w:rPr>
          <w:rFonts w:ascii="Roboto" w:cs="Roboto" w:eastAsia="Roboto" w:hAnsi="Roboto"/>
          <w:i/>
          <w:iCs/>
          <w:color w:val="000000"/>
          <w:sz w:val="18"/>
          <w:szCs w:val="18"/>
        </w:rPr>
        <w:t xml:space="preserve">  (Boswellia (frankincense))</w:t>
      </w:r>
    </w:p>
    <w:p>
      <w:pPr>
        <w:spacing w:after="120"/>
      </w:pPr>
      <w:r>
        <w:rPr>
          <w:rFonts w:ascii="Roboto" w:cs="Roboto" w:eastAsia="Roboto" w:hAnsi="Roboto"/>
          <w:b/>
          <w:bCs/>
          <w:color w:val="C3AF88"/>
          <w:sz w:val="22"/>
          <w:szCs w:val="22"/>
        </w:rPr>
        <w:t xml:space="preserve">[3]</w:t>
      </w:r>
      <w:r>
        <w:rPr>
          <w:rFonts w:ascii="Roboto" w:cs="Roboto" w:eastAsia="Roboto" w:hAnsi="Roboto"/>
          <w:color w:val="000000"/>
          <w:sz w:val="22"/>
          <w:szCs w:val="22"/>
        </w:rPr>
        <w:t xml:space="preserve">  Li Y et al. (2016). Quercetin, Inflammation and Immunity. Nutrients.</w:t>
      </w:r>
      <w:r>
        <w:rPr>
          <w:rFonts w:ascii="Roboto" w:cs="Roboto" w:eastAsia="Roboto" w:hAnsi="Roboto"/>
          <w:i/>
          <w:iCs/>
          <w:color w:val="000000"/>
          <w:sz w:val="18"/>
          <w:szCs w:val="18"/>
        </w:rPr>
        <w:t xml:space="preserve">  (Quercetin)</w:t>
      </w:r>
    </w:p>
    <w:p>
      <w:pPr>
        <w:spacing w:after="120"/>
      </w:pPr>
      <w:r>
        <w:rPr>
          <w:rFonts w:ascii="Roboto" w:cs="Roboto" w:eastAsia="Roboto" w:hAnsi="Roboto"/>
          <w:b/>
          <w:bCs/>
          <w:color w:val="C3AF88"/>
          <w:sz w:val="22"/>
          <w:szCs w:val="22"/>
        </w:rPr>
        <w:t xml:space="preserve">[4]</w:t>
      </w:r>
      <w:r>
        <w:rPr>
          <w:rFonts w:ascii="Roboto" w:cs="Roboto" w:eastAsia="Roboto" w:hAnsi="Roboto"/>
          <w:color w:val="000000"/>
          <w:sz w:val="22"/>
          <w:szCs w:val="22"/>
        </w:rPr>
        <w:t xml:space="preserve">  Berman AY et al. (2017). The therapeutic potential of resveratrol: a review of clinical trials. npj Precision Oncology.</w:t>
      </w:r>
      <w:r>
        <w:rPr>
          <w:rFonts w:ascii="Roboto" w:cs="Roboto" w:eastAsia="Roboto" w:hAnsi="Roboto"/>
          <w:i/>
          <w:iCs/>
          <w:color w:val="000000"/>
          <w:sz w:val="18"/>
          <w:szCs w:val="18"/>
        </w:rPr>
        <w:t xml:space="preserve">  (Resveratrol)</w:t>
      </w:r>
    </w:p>
    <w:p>
      <w:pPr>
        <w:spacing w:after="120"/>
      </w:pPr>
      <w:r>
        <w:rPr>
          <w:rFonts w:ascii="Roboto" w:cs="Roboto" w:eastAsia="Roboto" w:hAnsi="Roboto"/>
          <w:b/>
          <w:bCs/>
          <w:color w:val="C3AF88"/>
          <w:sz w:val="22"/>
          <w:szCs w:val="22"/>
        </w:rPr>
        <w:t xml:space="preserve">[5]</w:t>
      </w:r>
      <w:r>
        <w:rPr>
          <w:rFonts w:ascii="Roboto" w:cs="Roboto" w:eastAsia="Roboto" w:hAnsi="Roboto"/>
          <w:color w:val="000000"/>
          <w:sz w:val="22"/>
          <w:szCs w:val="22"/>
        </w:rPr>
        <w:t xml:space="preserve">  Atkuri KR et al. (2007). N-Acetylcysteine—a safe antidote for cysteine/glutathione deficiency. Current Opinion in Pharmacology.</w:t>
      </w:r>
      <w:r>
        <w:rPr>
          <w:rFonts w:ascii="Roboto" w:cs="Roboto" w:eastAsia="Roboto" w:hAnsi="Roboto"/>
          <w:i/>
          <w:iCs/>
          <w:color w:val="000000"/>
          <w:sz w:val="18"/>
          <w:szCs w:val="18"/>
        </w:rPr>
        <w:t xml:space="preserve">  (N-acetyl cysteine (NAC))</w:t>
      </w:r>
    </w:p>
    <w:p>
      <w:pPr>
        <w:spacing w:after="120"/>
      </w:pPr>
      <w:r>
        <w:rPr>
          <w:rFonts w:ascii="Roboto" w:cs="Roboto" w:eastAsia="Roboto" w:hAnsi="Roboto"/>
          <w:b/>
          <w:bCs/>
          <w:color w:val="C3AF88"/>
          <w:sz w:val="22"/>
          <w:szCs w:val="22"/>
        </w:rPr>
        <w:t xml:space="preserve">[6]</w:t>
      </w:r>
      <w:r>
        <w:rPr>
          <w:rFonts w:ascii="Roboto" w:cs="Roboto" w:eastAsia="Roboto" w:hAnsi="Roboto"/>
          <w:color w:val="000000"/>
          <w:sz w:val="22"/>
          <w:szCs w:val="22"/>
        </w:rPr>
        <w:t xml:space="preserve">  Abenavoli L et al. (2018). Milk thistle (Silybum marianum): A concise overview on its chemistry, pharmacological, and nutraceutical uses in liver diseases. Phytotherapy Research.</w:t>
      </w:r>
      <w:r>
        <w:rPr>
          <w:rFonts w:ascii="Roboto" w:cs="Roboto" w:eastAsia="Roboto" w:hAnsi="Roboto"/>
          <w:i/>
          <w:iCs/>
          <w:color w:val="000000"/>
          <w:sz w:val="18"/>
          <w:szCs w:val="18"/>
        </w:rPr>
        <w:t xml:space="preserve">  (Milk thistle (silymarin))</w:t>
      </w:r>
    </w:p>
    <w:p>
      <w:pPr>
        <w:spacing w:after="120"/>
      </w:pPr>
      <w:r>
        <w:rPr>
          <w:rFonts w:ascii="Roboto" w:cs="Roboto" w:eastAsia="Roboto" w:hAnsi="Roboto"/>
          <w:b/>
          <w:bCs/>
          <w:color w:val="C3AF88"/>
          <w:sz w:val="22"/>
          <w:szCs w:val="22"/>
        </w:rPr>
        <w:t xml:space="preserve">[7]</w:t>
      </w:r>
      <w:r>
        <w:rPr>
          <w:rFonts w:ascii="Roboto" w:cs="Roboto" w:eastAsia="Roboto" w:hAnsi="Roboto"/>
          <w:color w:val="000000"/>
          <w:sz w:val="22"/>
          <w:szCs w:val="22"/>
        </w:rPr>
        <w:t xml:space="preserve">  Dwivedi C et al. (1990). Effect of calcium glucarate on beta-glucuronidase activity and glucarate content of certain vegetables and fruits. Biochemical Medicine and Metabolic Biology.</w:t>
      </w:r>
      <w:r>
        <w:rPr>
          <w:rFonts w:ascii="Roboto" w:cs="Roboto" w:eastAsia="Roboto" w:hAnsi="Roboto"/>
          <w:i/>
          <w:iCs/>
          <w:color w:val="000000"/>
          <w:sz w:val="18"/>
          <w:szCs w:val="18"/>
        </w:rPr>
        <w:t xml:space="preserve">  (Calcium D-glucarate)</w:t>
      </w:r>
    </w:p>
    <w:p>
      <w:pPr>
        <w:spacing w:after="120"/>
      </w:pPr>
      <w:r>
        <w:rPr>
          <w:rFonts w:ascii="Roboto" w:cs="Roboto" w:eastAsia="Roboto" w:hAnsi="Roboto"/>
          <w:b/>
          <w:bCs/>
          <w:color w:val="C3AF88"/>
          <w:sz w:val="22"/>
          <w:szCs w:val="22"/>
        </w:rPr>
        <w:t xml:space="preserve">[8]</w:t>
      </w:r>
      <w:r>
        <w:rPr>
          <w:rFonts w:ascii="Roboto" w:cs="Roboto" w:eastAsia="Roboto" w:hAnsi="Roboto"/>
          <w:color w:val="000000"/>
          <w:sz w:val="22"/>
          <w:szCs w:val="22"/>
        </w:rPr>
        <w:t xml:space="preserve">  Carr AC &amp; Maggini S (2017). Vitamin C and Immune Function. Nutrients.</w:t>
      </w:r>
      <w:r>
        <w:rPr>
          <w:rFonts w:ascii="Roboto" w:cs="Roboto" w:eastAsia="Roboto" w:hAnsi="Roboto"/>
          <w:i/>
          <w:iCs/>
          <w:color w:val="000000"/>
          <w:sz w:val="18"/>
          <w:szCs w:val="18"/>
        </w:rPr>
        <w:t xml:space="preserve">  (Vitamin C (ascorbic acid))</w:t>
      </w:r>
    </w:p>
    <w:p>
      <w:pPr>
        <w:spacing w:after="120"/>
      </w:pPr>
      <w:r>
        <w:rPr>
          <w:rFonts w:ascii="Roboto" w:cs="Roboto" w:eastAsia="Roboto" w:hAnsi="Roboto"/>
          <w:b/>
          <w:bCs/>
          <w:color w:val="C3AF88"/>
          <w:sz w:val="22"/>
          <w:szCs w:val="22"/>
        </w:rPr>
        <w:t xml:space="preserve">[9]</w:t>
      </w:r>
      <w:r>
        <w:rPr>
          <w:rFonts w:ascii="Roboto" w:cs="Roboto" w:eastAsia="Roboto" w:hAnsi="Roboto"/>
          <w:color w:val="000000"/>
          <w:sz w:val="22"/>
          <w:szCs w:val="22"/>
        </w:rPr>
        <w:t xml:space="preserve">  Hernández-Camacho JD et al. (2018). Coenzyme Q10 Supplementation in Aging and Disease. Frontiers in Physiology.</w:t>
      </w:r>
      <w:r>
        <w:rPr>
          <w:rFonts w:ascii="Roboto" w:cs="Roboto" w:eastAsia="Roboto" w:hAnsi="Roboto"/>
          <w:i/>
          <w:iCs/>
          <w:color w:val="000000"/>
          <w:sz w:val="18"/>
          <w:szCs w:val="18"/>
        </w:rPr>
        <w:t xml:space="preserve">  (Coenzyme Q10)</w:t>
      </w:r>
    </w:p>
    <w:p>
      <w:pPr>
        <w:spacing w:after="120"/>
      </w:pPr>
      <w:r>
        <w:rPr>
          <w:rFonts w:ascii="Roboto" w:cs="Roboto" w:eastAsia="Roboto" w:hAnsi="Roboto"/>
          <w:b/>
          <w:bCs/>
          <w:color w:val="C3AF88"/>
          <w:sz w:val="22"/>
          <w:szCs w:val="22"/>
        </w:rPr>
        <w:t xml:space="preserve">[10]</w:t>
      </w:r>
      <w:r>
        <w:rPr>
          <w:rFonts w:ascii="Roboto" w:cs="Roboto" w:eastAsia="Roboto" w:hAnsi="Roboto"/>
          <w:color w:val="000000"/>
          <w:sz w:val="22"/>
          <w:szCs w:val="22"/>
        </w:rPr>
        <w:t xml:space="preserve">  Shay KP et al. (2009). Alpha-lipoic acid as a dietary supplement: molecular mechanisms and therapeutic potential. Biochimica et Biophysica Acta.</w:t>
      </w:r>
      <w:r>
        <w:rPr>
          <w:rFonts w:ascii="Roboto" w:cs="Roboto" w:eastAsia="Roboto" w:hAnsi="Roboto"/>
          <w:i/>
          <w:iCs/>
          <w:color w:val="000000"/>
          <w:sz w:val="18"/>
          <w:szCs w:val="18"/>
        </w:rPr>
        <w:t xml:space="preserve">  (Alpha-lipoic acid)</w:t>
      </w:r>
    </w:p>
    <w:p>
      <w:pPr>
        <w:spacing w:after="120"/>
      </w:pPr>
      <w:r>
        <w:rPr>
          <w:rFonts w:ascii="Roboto" w:cs="Roboto" w:eastAsia="Roboto" w:hAnsi="Roboto"/>
          <w:b/>
          <w:bCs/>
          <w:color w:val="C3AF88"/>
          <w:sz w:val="22"/>
          <w:szCs w:val="22"/>
        </w:rPr>
        <w:t xml:space="preserve">[11]</w:t>
      </w:r>
      <w:r>
        <w:rPr>
          <w:rFonts w:ascii="Roboto" w:cs="Roboto" w:eastAsia="Roboto" w:hAnsi="Roboto"/>
          <w:color w:val="000000"/>
          <w:sz w:val="22"/>
          <w:szCs w:val="22"/>
        </w:rPr>
        <w:t xml:space="preserve">  Ueland PM et al. (2017). Direct and Functional Biomarkers of Vitamin B6 Status. Annual Review of Nutrition.</w:t>
      </w:r>
      <w:r>
        <w:rPr>
          <w:rFonts w:ascii="Roboto" w:cs="Roboto" w:eastAsia="Roboto" w:hAnsi="Roboto"/>
          <w:i/>
          <w:iCs/>
          <w:color w:val="000000"/>
          <w:sz w:val="18"/>
          <w:szCs w:val="18"/>
        </w:rPr>
        <w:t xml:space="preserve">  (Vitamin B6 (pyridoxal 5-phosphate))</w:t>
      </w:r>
    </w:p>
    <w:p>
      <w:pPr>
        <w:spacing w:after="120"/>
      </w:pPr>
      <w:r>
        <w:rPr>
          <w:rFonts w:ascii="Roboto" w:cs="Roboto" w:eastAsia="Roboto" w:hAnsi="Roboto"/>
          <w:b/>
          <w:bCs/>
          <w:color w:val="C3AF88"/>
          <w:sz w:val="22"/>
          <w:szCs w:val="22"/>
        </w:rPr>
        <w:t xml:space="preserve">[12]</w:t>
      </w:r>
      <w:r>
        <w:rPr>
          <w:rFonts w:ascii="Roboto" w:cs="Roboto" w:eastAsia="Roboto" w:hAnsi="Roboto"/>
          <w:color w:val="000000"/>
          <w:sz w:val="22"/>
          <w:szCs w:val="22"/>
        </w:rPr>
        <w:t xml:space="preserve">  Paul C &amp; Brady DM (2017). Comparative Bioavailability and Utilization of Particular Forms of B12 Supplements With Potential to Mitigate B12-related Genetic Polymorphisms. Integrative Medicine: A Clinician's Journal.</w:t>
      </w:r>
      <w:r>
        <w:rPr>
          <w:rFonts w:ascii="Roboto" w:cs="Roboto" w:eastAsia="Roboto" w:hAnsi="Roboto"/>
          <w:i/>
          <w:iCs/>
          <w:color w:val="000000"/>
          <w:sz w:val="18"/>
          <w:szCs w:val="18"/>
        </w:rPr>
        <w:t xml:space="preserve">  (Vitamin B12 (methylcobalamin))</w:t>
      </w:r>
    </w:p>
    <w:p>
      <w:pPr>
        <w:spacing w:after="120"/>
      </w:pPr>
      <w:r>
        <w:rPr>
          <w:rFonts w:ascii="Roboto" w:cs="Roboto" w:eastAsia="Roboto" w:hAnsi="Roboto"/>
          <w:b/>
          <w:bCs/>
          <w:color w:val="C3AF88"/>
          <w:sz w:val="22"/>
          <w:szCs w:val="22"/>
        </w:rPr>
        <w:t xml:space="preserve">[13]</w:t>
      </w:r>
      <w:r>
        <w:rPr>
          <w:rFonts w:ascii="Roboto" w:cs="Roboto" w:eastAsia="Roboto" w:hAnsi="Roboto"/>
          <w:color w:val="000000"/>
          <w:sz w:val="22"/>
          <w:szCs w:val="22"/>
        </w:rPr>
        <w:t xml:space="preserve">  Powers HJ (2003). Riboflavin (vitamin B-2) and health. American Journal of Clinical Nutrition.</w:t>
      </w:r>
      <w:r>
        <w:rPr>
          <w:rFonts w:ascii="Roboto" w:cs="Roboto" w:eastAsia="Roboto" w:hAnsi="Roboto"/>
          <w:i/>
          <w:iCs/>
          <w:color w:val="000000"/>
          <w:sz w:val="18"/>
          <w:szCs w:val="18"/>
        </w:rPr>
        <w:t xml:space="preserve">  (Vitamin B2 (riboflavin))</w:t>
      </w:r>
    </w:p>
    <w:p>
      <w:pPr>
        <w:spacing w:after="120"/>
      </w:pPr>
      <w:r>
        <w:rPr>
          <w:rFonts w:ascii="Roboto" w:cs="Roboto" w:eastAsia="Roboto" w:hAnsi="Roboto"/>
          <w:b/>
          <w:bCs/>
          <w:color w:val="C3AF88"/>
          <w:sz w:val="22"/>
          <w:szCs w:val="22"/>
        </w:rPr>
        <w:t xml:space="preserve">[14]</w:t>
      </w:r>
      <w:r>
        <w:rPr>
          <w:rFonts w:ascii="Roboto" w:cs="Roboto" w:eastAsia="Roboto" w:hAnsi="Roboto"/>
          <w:color w:val="000000"/>
          <w:sz w:val="22"/>
          <w:szCs w:val="22"/>
        </w:rPr>
        <w:t xml:space="preserve">  Pietrzik K et al. (2010). Folic acid and L-5-methyltetrahydrofolate: comparison of clinical pharmacokinetics and pharmacodynamics. Clinical Pharmacokinetics.</w:t>
      </w:r>
      <w:r>
        <w:rPr>
          <w:rFonts w:ascii="Roboto" w:cs="Roboto" w:eastAsia="Roboto" w:hAnsi="Roboto"/>
          <w:i/>
          <w:iCs/>
          <w:color w:val="000000"/>
          <w:sz w:val="18"/>
          <w:szCs w:val="18"/>
        </w:rPr>
        <w:t xml:space="preserve">  (Folate (calcium levomefolate))</w:t>
      </w:r>
    </w:p>
    <w:p>
      <w:pPr>
        <w:spacing w:after="120"/>
      </w:pPr>
      <w:r>
        <w:rPr>
          <w:rFonts w:ascii="Roboto" w:cs="Roboto" w:eastAsia="Roboto" w:hAnsi="Roboto"/>
          <w:b/>
          <w:bCs/>
          <w:color w:val="C3AF88"/>
          <w:sz w:val="22"/>
          <w:szCs w:val="22"/>
        </w:rPr>
        <w:t xml:space="preserve">[15]</w:t>
      </w:r>
      <w:r>
        <w:rPr>
          <w:rFonts w:ascii="Roboto" w:cs="Roboto" w:eastAsia="Roboto" w:hAnsi="Roboto"/>
          <w:color w:val="000000"/>
          <w:sz w:val="22"/>
          <w:szCs w:val="22"/>
        </w:rPr>
        <w:t xml:space="preserve">  Habtemariam S (2020). Berberine pharmacology and the gut microbiota: A hidden therapeutic link. Pharmacological Research.</w:t>
      </w:r>
      <w:r>
        <w:rPr>
          <w:rFonts w:ascii="Roboto" w:cs="Roboto" w:eastAsia="Roboto" w:hAnsi="Roboto"/>
          <w:i/>
          <w:iCs/>
          <w:color w:val="000000"/>
          <w:sz w:val="18"/>
          <w:szCs w:val="18"/>
        </w:rPr>
        <w:t xml:space="preserve">  (Berberine HCl)</w:t>
      </w:r>
    </w:p>
    <w:p>
      <w:pPr>
        <w:spacing w:after="120"/>
      </w:pPr>
      <w:r>
        <w:rPr>
          <w:rFonts w:ascii="Roboto" w:cs="Roboto" w:eastAsia="Roboto" w:hAnsi="Roboto"/>
          <w:b/>
          <w:bCs/>
          <w:color w:val="C3AF88"/>
          <w:sz w:val="22"/>
          <w:szCs w:val="22"/>
        </w:rPr>
        <w:t xml:space="preserve">[16]</w:t>
      </w:r>
      <w:r>
        <w:rPr>
          <w:rFonts w:ascii="Roboto" w:cs="Roboto" w:eastAsia="Roboto" w:hAnsi="Roboto"/>
          <w:color w:val="000000"/>
          <w:sz w:val="22"/>
          <w:szCs w:val="22"/>
        </w:rPr>
        <w:t xml:space="preserve">  Kim MH &amp; Kim H (2017). The Roles of Glutamine in the Intestine and Its Implication in Intestinal Diseases. International Journal of Molecular Sciences.</w:t>
      </w:r>
      <w:r>
        <w:rPr>
          <w:rFonts w:ascii="Roboto" w:cs="Roboto" w:eastAsia="Roboto" w:hAnsi="Roboto"/>
          <w:i/>
          <w:iCs/>
          <w:color w:val="000000"/>
          <w:sz w:val="18"/>
          <w:szCs w:val="18"/>
        </w:rPr>
        <w:t xml:space="preserve">  (L-glutamine)</w:t>
      </w:r>
    </w:p>
    <w:p>
      <w:pPr>
        <w:spacing w:after="120"/>
      </w:pPr>
      <w:r>
        <w:rPr>
          <w:rFonts w:ascii="Roboto" w:cs="Roboto" w:eastAsia="Roboto" w:hAnsi="Roboto"/>
          <w:b/>
          <w:bCs/>
          <w:color w:val="C3AF88"/>
          <w:sz w:val="22"/>
          <w:szCs w:val="22"/>
        </w:rPr>
        <w:t xml:space="preserve">[17]</w:t>
      </w:r>
      <w:r>
        <w:rPr>
          <w:rFonts w:ascii="Roboto" w:cs="Roboto" w:eastAsia="Roboto" w:hAnsi="Roboto"/>
          <w:color w:val="000000"/>
          <w:sz w:val="22"/>
          <w:szCs w:val="22"/>
        </w:rPr>
        <w:t xml:space="preserve">  Wessells KR &amp; Brown KH (2012). Estimating the global prevalence of zinc deficiency: results based on zinc availability in national food supplies and the prevalence of stunting. PLoS ONE.</w:t>
      </w:r>
      <w:r>
        <w:rPr>
          <w:rFonts w:ascii="Roboto" w:cs="Roboto" w:eastAsia="Roboto" w:hAnsi="Roboto"/>
          <w:i/>
          <w:iCs/>
          <w:color w:val="000000"/>
          <w:sz w:val="18"/>
          <w:szCs w:val="18"/>
        </w:rPr>
        <w:t xml:space="preserve">  (Zinc citrate)</w:t>
      </w:r>
    </w:p>
    <w:p>
      <w:pPr>
        <w:pBdr>
          <w:top w:val="single" w:color="C3AF88" w:sz="6" w:space="4"/>
        </w:pBdr>
        <w:spacing w:after="120" w:before="360"/>
      </w:pPr>
      <w:r>
        <w:rPr>
          <w:rFonts w:ascii="Roboto" w:cs="Roboto" w:eastAsia="Roboto" w:hAnsi="Roboto"/>
          <w:b/>
          <w:bCs/>
          <w:i/>
          <w:iCs/>
          <w:color w:val="000000"/>
          <w:sz w:val="18"/>
          <w:szCs w:val="18"/>
        </w:rPr>
        <w:t xml:space="preserve">Patients should not act on the contents of this document without the direct guidance of their treating practitioner.</w:t>
      </w:r>
    </w:p>
    <w:p>
      <w:pPr>
        <w:spacing w:after="60"/>
      </w:pPr>
      <w:r>
        <w:rPr>
          <w:rFonts w:ascii="Roboto" w:cs="Roboto" w:eastAsia="Roboto" w:hAnsi="Roboto"/>
          <w:i/>
          <w:iCs/>
          <w:color w:val="666666"/>
          <w:sz w:val="18"/>
          <w:szCs w:val="18"/>
        </w:rPr>
        <w:t xml:space="preserve">Submission: SUB-2026-003  •  Generated: 30 May 2026, 10:13 am</w:t>
      </w:r>
    </w:p>
    <w:p>
      <w:pPr>
        <w:spacing w:after="60"/>
      </w:pPr>
      <w:r>
        <w:rPr>
          <w:rFonts w:ascii="Roboto" w:cs="Roboto" w:eastAsia="Roboto" w:hAnsi="Roboto"/>
          <w:i/>
          <w:iCs/>
          <w:color w:val="666666"/>
          <w:sz w:val="18"/>
          <w:szCs w:val="18"/>
        </w:rPr>
        <w:t xml:space="preserve">Audit Reference: 41B7-C1F6-B7A4</w:t>
      </w:r>
    </w:p>
    <w:sectPr>
      <w:footerReference w:type="default" r:id="rId7"/>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Roboto" w:cs="Roboto" w:eastAsia="Roboto" w:hAnsi="Roboto"/>
        <w:color w:val="666666"/>
        <w:sz w:val="16"/>
        <w:szCs w:val="16"/>
      </w:rPr>
      <w:t xml:space="preserve">N of 1 Precision Formulation  |  SUB-2026-003  |  DRAFT — Page </w:t>
    </w:r>
    <w:r>
      <w:rPr>
        <w:rFonts w:ascii="Roboto" w:cs="Roboto" w:eastAsia="Roboto" w:hAnsi="Roboto"/>
        <w:color w:val="666666"/>
        <w:sz w:val="16"/>
        <w:szCs w:val="16"/>
      </w:rPr>
      <w:fldChar w:fldCharType="begin"/>
      <w:instrText xml:space="preserve">PAGE</w:instrText>
      <w:fldChar w:fldCharType="separate"/>
      <w:fldChar w:fldCharType="end"/>
    </w:r>
    <w:r>
      <w:rPr>
        <w:rFonts w:ascii="Roboto" w:cs="Roboto" w:eastAsia="Roboto" w:hAnsi="Roboto"/>
        <w:color w:val="666666"/>
        <w:sz w:val="16"/>
        <w:szCs w:val="16"/>
      </w:rPr>
      <w:t xml:space="preserve"> of </w:t>
    </w:r>
    <w:r>
      <w:rPr>
        <w:rFonts w:ascii="Roboto" w:cs="Roboto" w:eastAsia="Roboto" w:hAnsi="Roboto"/>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2a66d48eaf0c05f3b2f313fea30ee617ddf5b3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2026-05-30T00:18:02.291Z</dcterms:created>
  <dcterms:modified xsi:type="dcterms:W3CDTF">2026-05-30T00:18:02.291Z</dcterms:modified>
</cp:coreProperties>
</file>

<file path=docProps/custom.xml><?xml version="1.0" encoding="utf-8"?>
<Properties xmlns="http://schemas.openxmlformats.org/officeDocument/2006/custom-properties" xmlns:vt="http://schemas.openxmlformats.org/officeDocument/2006/docPropsVTypes"/>
</file>