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left"/>
      </w:pPr>
      <w:r>
        <w:drawing>
          <wp:inline distT="0" distB="0" distL="0" distR="0">
            <wp:extent cx="5143500"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962025"/>
                    </a:xfrm>
                    <a:prstGeom prst="rect">
                      <a:avLst/>
                    </a:prstGeom>
                  </pic:spPr>
                </pic:pic>
              </a:graphicData>
            </a:graphic>
          </wp:inline>
        </w:drawing>
      </w:r>
    </w:p>
    <w:p>
      <w:pPr>
        <w:spacing w:after="60"/>
      </w:pPr>
      <w:r>
        <w:rPr>
          <w:rFonts w:ascii="Roboto" w:cs="Roboto" w:eastAsia="Roboto" w:hAnsi="Roboto"/>
          <w:b/>
          <w:bCs/>
          <w:color w:val="535B50"/>
          <w:sz w:val="36"/>
          <w:szCs w:val="36"/>
        </w:rPr>
        <w:t xml:space="preserve">Health Analysis</w:t>
      </w:r>
    </w:p>
    <w:p>
      <w:pPr>
        <w:spacing w:after="240"/>
      </w:pPr>
      <w:r>
        <w:rPr>
          <w:rFonts w:ascii="Roboto" w:cs="Roboto" w:eastAsia="Roboto" w:hAnsi="Roboto"/>
          <w:i/>
          <w:iCs/>
          <w:color w:val="666666"/>
          <w:sz w:val="22"/>
          <w:szCs w:val="22"/>
        </w:rPr>
        <w:t xml:space="preserve">N of 1 Precision Formulation  •  Practitioner Decision Support</w:t>
      </w:r>
    </w:p>
    <w:p>
      <w:pPr>
        <w:pBdr>
          <w:top w:val="single" w:color="8B2A2A" w:sz="6" w:space="2"/>
          <w:bottom w:val="single" w:color="8B2A2A" w:sz="6" w:space="2"/>
        </w:pBdr>
        <w:spacing w:after="240" w:before="120"/>
        <w:jc w:val="center"/>
      </w:pPr>
      <w:r>
        <w:rPr>
          <w:rFonts w:ascii="Roboto" w:cs="Roboto" w:eastAsia="Roboto" w:hAnsi="Roboto"/>
          <w:b/>
          <w:bCs/>
          <w:color w:val="8B2A2A"/>
          <w:sz w:val="22"/>
          <w:szCs w:val="22"/>
        </w:rPr>
        <w:t xml:space="preserve">DRAFT — PENDING PRACTITIONER REVIEW AND APPROVAL</w:t>
      </w:r>
    </w:p>
    <w:p>
      <w:pPr>
        <w:spacing w:after="240"/>
      </w:pPr>
      <w:r>
        <w:rPr>
          <w:rFonts w:ascii="Roboto" w:cs="Roboto" w:eastAsia="Roboto" w:hAnsi="Roboto"/>
          <w:i/>
          <w:iCs/>
          <w:color w:val="000000"/>
          <w:sz w:val="18"/>
          <w:szCs w:val="18"/>
        </w:rPr>
        <w:t xml:space="preserve">This document is decision support for a qualified healthcare practitioner. It is not a diagnosis, not a prescription, and not directed to the patient. The reviewing practitioner is the prescribing clinician of record and exercises independent clinical judgement on every recommendation contained herein.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2700"/>
        <w:gridCol w:w="1900"/>
      </w:tblGrid>
      <w:tr>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Patient Pseudonym</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PT-2026-003</w:t>
            </w:r>
          </w:p>
        </w:tc>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Age</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56</w:t>
            </w:r>
          </w:p>
        </w:tc>
      </w:tr>
      <w:tr>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Sex (at birth)</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female</w:t>
            </w:r>
          </w:p>
        </w:tc>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Test Type</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Organic_Acids</w:t>
            </w:r>
          </w:p>
        </w:tc>
      </w:tr>
      <w:tr>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Lab ID</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202605130722271AF966</w:t>
            </w:r>
          </w:p>
        </w:tc>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Collection Date</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2026-04-02</w:t>
            </w:r>
          </w:p>
        </w:tc>
      </w:tr>
      <w:tr>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Practitioner ID</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P001-NATUROPATH</w:t>
            </w:r>
          </w:p>
        </w:tc>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Practitioner Type</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naturopath</w:t>
            </w:r>
          </w:p>
        </w:tc>
      </w:tr>
      <w:tr>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Submission ID</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SUB-2026-003</w:t>
            </w:r>
          </w:p>
        </w:tc>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Generated</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30 May 2026, 6:38 pm</w:t>
            </w:r>
          </w:p>
        </w:tc>
      </w:tr>
    </w:tbl>
    <w:p>
      <w:r>
        <w:t xml:space="preserve"/>
      </w:r>
    </w:p>
    <w:p>
      <w:pPr>
        <w:pBdr>
          <w:bottom w:val="single" w:color="C3AF88" w:sz="6" w:space="4"/>
        </w:pBdr>
        <w:spacing w:after="180" w:before="360"/>
      </w:pPr>
      <w:r>
        <w:rPr>
          <w:rFonts w:ascii="Roboto" w:cs="Roboto" w:eastAsia="Roboto" w:hAnsi="Roboto"/>
          <w:b/>
          <w:bCs/>
          <w:color w:val="535B50"/>
          <w:sz w:val="28"/>
          <w:szCs w:val="28"/>
        </w:rPr>
        <w:t xml:space="preserve">Section 1 — Executive Summary</w:t>
      </w:r>
    </w:p>
    <w:p>
      <w:pPr>
        <w:spacing w:after="240"/>
      </w:pPr>
      <w:r>
        <w:rPr>
          <w:rFonts w:ascii="Roboto" w:cs="Roboto" w:eastAsia="Roboto" w:hAnsi="Roboto"/>
          <w:b w:val="false"/>
          <w:bCs w:val="false"/>
          <w:color w:val="000000"/>
          <w:sz w:val="22"/>
          <w:szCs w:val="22"/>
        </w:rPr>
        <w:t xml:space="preserve">Organic Acids profile shows a multi-pattern picture: xenobiotic exposure (benzene/xylene/paraben markers), oxidative stress with mitochondrial/TCA disturbance, kynurenine pathway shift toward quinolinic acid, methylation/one-carbon stress, and elevated leukotriene E4 — for practitioner consideration.</w:t>
      </w:r>
    </w:p>
    <w:p>
      <w:pPr>
        <w:spacing w:after="180" w:before="240"/>
      </w:pPr>
      <w:r>
        <w:rPr>
          <w:rFonts w:ascii="Roboto" w:cs="Roboto" w:eastAsia="Roboto" w:hAnsi="Roboto"/>
          <w:b/>
          <w:bCs/>
          <w:color w:val="535B50"/>
          <w:sz w:val="24"/>
          <w:szCs w:val="24"/>
        </w:rPr>
        <w:t xml:space="preserve">Recognised clinical patterns</w:t>
      </w:r>
    </w:p>
    <w:p>
      <w:pPr>
        <w:spacing w:after="60"/>
      </w:pPr>
      <w:r>
        <w:rPr>
          <w:rFonts w:ascii="Roboto" w:cs="Roboto" w:eastAsia="Roboto" w:hAnsi="Roboto"/>
          <w:b/>
          <w:bCs/>
          <w:color w:val="C3AF88"/>
          <w:sz w:val="22"/>
          <w:szCs w:val="22"/>
        </w:rPr>
        <w:t xml:space="preserve">• </w:t>
      </w:r>
      <w:r>
        <w:rPr>
          <w:rFonts w:ascii="Roboto" w:cs="Roboto" w:eastAsia="Roboto" w:hAnsi="Roboto"/>
          <w:b/>
          <w:bCs/>
          <w:color w:val="000000"/>
          <w:sz w:val="22"/>
          <w:szCs w:val="22"/>
        </w:rPr>
        <w:t xml:space="preserve">Xenobiotic-burdened</w:t>
      </w:r>
    </w:p>
    <w:p>
      <w:pPr>
        <w:spacing w:after="120"/>
        <w:ind w:left="360"/>
      </w:pPr>
      <w:r>
        <w:rPr>
          <w:rFonts w:ascii="Roboto" w:cs="Roboto" w:eastAsia="Roboto" w:hAnsi="Roboto"/>
          <w:color w:val="666666"/>
          <w:sz w:val="20"/>
          <w:szCs w:val="20"/>
        </w:rPr>
        <w:t xml:space="preserve">Supporting findings: Benzoic Acid 25.0 (&lt;9.3), t,t-Muconic Acid 0.20 (&lt;0.12), 3-Methylhippuric Acid 0.34 (&lt;0.11), 4-Hydroxybenzoic Acid 0.64 (&lt;0.57), 5-Hydroxymethyl-2-furoic Acid 18.5 (&lt;10.0), Furancarbonylglycine 2.9 (&lt;2.0)</w:t>
      </w:r>
    </w:p>
    <w:p>
      <w:pPr>
        <w:spacing w:after="60"/>
      </w:pPr>
      <w:r>
        <w:rPr>
          <w:rFonts w:ascii="Roboto" w:cs="Roboto" w:eastAsia="Roboto" w:hAnsi="Roboto"/>
          <w:b/>
          <w:bCs/>
          <w:color w:val="C3AF88"/>
          <w:sz w:val="22"/>
          <w:szCs w:val="22"/>
        </w:rPr>
        <w:t xml:space="preserve">• </w:t>
      </w:r>
      <w:r>
        <w:rPr>
          <w:rFonts w:ascii="Roboto" w:cs="Roboto" w:eastAsia="Roboto" w:hAnsi="Roboto"/>
          <w:b/>
          <w:bCs/>
          <w:color w:val="000000"/>
          <w:sz w:val="22"/>
          <w:szCs w:val="22"/>
        </w:rPr>
        <w:t xml:space="preserve">Oxidative stress / redox-stressed</w:t>
      </w:r>
    </w:p>
    <w:p>
      <w:pPr>
        <w:spacing w:after="120"/>
        <w:ind w:left="360"/>
      </w:pPr>
      <w:r>
        <w:rPr>
          <w:rFonts w:ascii="Roboto" w:cs="Roboto" w:eastAsia="Roboto" w:hAnsi="Roboto"/>
          <w:color w:val="666666"/>
          <w:sz w:val="20"/>
          <w:szCs w:val="20"/>
        </w:rPr>
        <w:t xml:space="preserve">Supporting findings: 8-hydroxy-deoxyguanosine 3.80 (&lt;2.70), Leukotriene E4 195 (&lt;100), KMBA 3.20 (&lt;1.50), Pyroglutamic Acid 28.8 (upper portion of 4.5-33.0)</w:t>
      </w:r>
    </w:p>
    <w:p>
      <w:pPr>
        <w:spacing w:after="60"/>
      </w:pPr>
      <w:r>
        <w:rPr>
          <w:rFonts w:ascii="Roboto" w:cs="Roboto" w:eastAsia="Roboto" w:hAnsi="Roboto"/>
          <w:b/>
          <w:bCs/>
          <w:color w:val="C3AF88"/>
          <w:sz w:val="22"/>
          <w:szCs w:val="22"/>
        </w:rPr>
        <w:t xml:space="preserve">• </w:t>
      </w:r>
      <w:r>
        <w:rPr>
          <w:rFonts w:ascii="Roboto" w:cs="Roboto" w:eastAsia="Roboto" w:hAnsi="Roboto"/>
          <w:b/>
          <w:bCs/>
          <w:color w:val="000000"/>
          <w:sz w:val="22"/>
          <w:szCs w:val="22"/>
        </w:rPr>
        <w:t xml:space="preserve">Mitochondrial / TCA flux strain</w:t>
      </w:r>
    </w:p>
    <w:p>
      <w:pPr>
        <w:spacing w:after="120"/>
        <w:ind w:left="360"/>
      </w:pPr>
      <w:r>
        <w:rPr>
          <w:rFonts w:ascii="Roboto" w:cs="Roboto" w:eastAsia="Roboto" w:hAnsi="Roboto"/>
          <w:color w:val="666666"/>
          <w:sz w:val="20"/>
          <w:szCs w:val="20"/>
        </w:rPr>
        <w:t xml:space="preserve">Supporting findings: Isocitric Acid 86 (5-65), 2-Oxoglutaric Acid 65 (2-45), 3-Methylglutaconic Acid 6.32 (&lt;5.50), Adipic Acid 4.30 (&lt;3.80), Mevalonolactone 2.80 (&lt;2.00)</w:t>
      </w:r>
    </w:p>
    <w:p>
      <w:pPr>
        <w:spacing w:after="60"/>
      </w:pPr>
      <w:r>
        <w:rPr>
          <w:rFonts w:ascii="Roboto" w:cs="Roboto" w:eastAsia="Roboto" w:hAnsi="Roboto"/>
          <w:b/>
          <w:bCs/>
          <w:color w:val="C3AF88"/>
          <w:sz w:val="22"/>
          <w:szCs w:val="22"/>
        </w:rPr>
        <w:t xml:space="preserve">• </w:t>
      </w:r>
      <w:r>
        <w:rPr>
          <w:rFonts w:ascii="Roboto" w:cs="Roboto" w:eastAsia="Roboto" w:hAnsi="Roboto"/>
          <w:b/>
          <w:bCs/>
          <w:color w:val="000000"/>
          <w:sz w:val="22"/>
          <w:szCs w:val="22"/>
        </w:rPr>
        <w:t xml:space="preserve">Kynurenine pathway shift / functional B6 insufficiency</w:t>
      </w:r>
    </w:p>
    <w:p>
      <w:pPr>
        <w:spacing w:after="120"/>
        <w:ind w:left="360"/>
      </w:pPr>
      <w:r>
        <w:rPr>
          <w:rFonts w:ascii="Roboto" w:cs="Roboto" w:eastAsia="Roboto" w:hAnsi="Roboto"/>
          <w:color w:val="666666"/>
          <w:sz w:val="20"/>
          <w:szCs w:val="20"/>
        </w:rPr>
        <w:t xml:space="preserve">Supporting findings: Quinolinic Acid 11.80 (&lt;9.10), Kynurenic Acid 3.10 (&lt;2.20), Xanthurenic Acid 1.92 (&lt;0.96), Quinolinic/5-HIAA 10.4 (&lt;5.0)</w:t>
      </w:r>
    </w:p>
    <w:p>
      <w:pPr>
        <w:spacing w:after="60"/>
      </w:pPr>
      <w:r>
        <w:rPr>
          <w:rFonts w:ascii="Roboto" w:cs="Roboto" w:eastAsia="Roboto" w:hAnsi="Roboto"/>
          <w:b/>
          <w:bCs/>
          <w:color w:val="C3AF88"/>
          <w:sz w:val="22"/>
          <w:szCs w:val="22"/>
        </w:rPr>
        <w:t xml:space="preserve">• </w:t>
      </w:r>
      <w:r>
        <w:rPr>
          <w:rFonts w:ascii="Roboto" w:cs="Roboto" w:eastAsia="Roboto" w:hAnsi="Roboto"/>
          <w:b/>
          <w:bCs/>
          <w:color w:val="000000"/>
          <w:sz w:val="22"/>
          <w:szCs w:val="22"/>
        </w:rPr>
        <w:t xml:space="preserve">Methylation / one-carbon stress</w:t>
      </w:r>
    </w:p>
    <w:p>
      <w:pPr>
        <w:spacing w:after="120"/>
        <w:ind w:left="360"/>
      </w:pPr>
      <w:r>
        <w:rPr>
          <w:rFonts w:ascii="Roboto" w:cs="Roboto" w:eastAsia="Roboto" w:hAnsi="Roboto"/>
          <w:color w:val="666666"/>
          <w:sz w:val="20"/>
          <w:szCs w:val="20"/>
        </w:rPr>
        <w:t xml:space="preserve">Supporting findings: 5-Methylcytosine 68 (10-50), Guanidinoacetic Acid 4.80 (0.5-3.0), KMBA 3.20 (&lt;1.50)</w:t>
      </w:r>
    </w:p>
    <w:p>
      <w:pPr>
        <w:spacing w:after="60"/>
      </w:pPr>
      <w:r>
        <w:rPr>
          <w:rFonts w:ascii="Roboto" w:cs="Roboto" w:eastAsia="Roboto" w:hAnsi="Roboto"/>
          <w:b/>
          <w:bCs/>
          <w:color w:val="C3AF88"/>
          <w:sz w:val="22"/>
          <w:szCs w:val="22"/>
        </w:rPr>
        <w:t xml:space="preserve">• </w:t>
      </w:r>
      <w:r>
        <w:rPr>
          <w:rFonts w:ascii="Roboto" w:cs="Roboto" w:eastAsia="Roboto" w:hAnsi="Roboto"/>
          <w:b/>
          <w:bCs/>
          <w:color w:val="000000"/>
          <w:sz w:val="22"/>
          <w:szCs w:val="22"/>
        </w:rPr>
        <w:t xml:space="preserve">Modest dysbiosis (yeast/bacterial)</w:t>
      </w:r>
    </w:p>
    <w:p>
      <w:pPr>
        <w:spacing w:after="120"/>
        <w:ind w:left="360"/>
      </w:pPr>
      <w:r>
        <w:rPr>
          <w:rFonts w:ascii="Roboto" w:cs="Roboto" w:eastAsia="Roboto" w:hAnsi="Roboto"/>
          <w:color w:val="666666"/>
          <w:sz w:val="20"/>
          <w:szCs w:val="20"/>
        </w:rPr>
        <w:t xml:space="preserve">Supporting findings: Arabinose 42 (&lt;32), 3,4-DHBA 62 (&lt;45), 3-HPAA 12 (&lt;10)</w:t>
      </w:r>
    </w:p>
    <w:p>
      <w:pPr>
        <w:pBdr>
          <w:bottom w:val="single" w:color="C3AF88" w:sz="6" w:space="4"/>
        </w:pBdr>
        <w:spacing w:after="180" w:before="360"/>
      </w:pPr>
      <w:r>
        <w:rPr>
          <w:rFonts w:ascii="Roboto" w:cs="Roboto" w:eastAsia="Roboto" w:hAnsi="Roboto"/>
          <w:b/>
          <w:bCs/>
          <w:color w:val="535B50"/>
          <w:sz w:val="28"/>
          <w:szCs w:val="28"/>
        </w:rPr>
        <w:t xml:space="preserve">Section 2 — Detailed Biomarker Analysis</w:t>
      </w:r>
    </w:p>
    <w:p>
      <w:pPr>
        <w:spacing w:after="240"/>
      </w:pPr>
      <w:r>
        <w:rPr>
          <w:rFonts w:ascii="Roboto" w:cs="Roboto" w:eastAsia="Roboto" w:hAnsi="Roboto"/>
          <w:b w:val="false"/>
          <w:bCs w:val="false"/>
          <w:color w:val="000000"/>
          <w:sz w:val="22"/>
          <w:szCs w:val="22"/>
        </w:rPr>
        <w:t xml:space="preserve">The following 26 biomarker findings are surfaced for practitioner review. Each finding includes a hedged interpretation, possible contributors per the published literature, and the relevance of the finding to the formulation strategy.</w:t>
      </w:r>
    </w:p>
    <w:p>
      <w:pPr>
        <w:spacing w:after="60" w:before="120"/>
      </w:pPr>
      <w:r>
        <w:rPr>
          <w:rFonts w:ascii="Roboto" w:cs="Roboto" w:eastAsia="Roboto" w:hAnsi="Roboto"/>
          <w:b/>
          <w:bCs/>
          <w:color w:val="535B50"/>
          <w:sz w:val="22"/>
          <w:szCs w:val="22"/>
        </w:rPr>
        <w:t xml:space="preserve">Benzoic Acid (urine)</w:t>
      </w:r>
      <w:r>
        <w:rPr>
          <w:rFonts w:ascii="Roboto" w:cs="Roboto" w:eastAsia="Roboto" w:hAnsi="Roboto"/>
          <w:color w:val="000000"/>
          <w:sz w:val="22"/>
          <w:szCs w:val="22"/>
        </w:rPr>
        <w:t xml:space="preserve">   25.00 mmol/molCR</w:t>
      </w:r>
      <w:r>
        <w:rPr>
          <w:rFonts w:ascii="Roboto" w:cs="Roboto" w:eastAsia="Roboto" w:hAnsi="Roboto"/>
          <w:i/>
          <w:iCs/>
          <w:color w:val="666666"/>
          <w:sz w:val="20"/>
          <w:szCs w:val="20"/>
        </w:rPr>
        <w:t xml:space="preserve">   (ref: &lt;9.30)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Elevated above the laboratory reference range. Per published OA frameworks, may reflect dietary benzoate intake or microbial production; in combination with elevated 4-HBA may indicate increased glycine conjugation demand.</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Dietary preservatives (sodium benzoate), aspartame metabolism, paraben exposure, microbial polyphenol metabolism — practitioner to assess relevance.</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Supports inclusion of Phase II conjugation support (glycine pathway candidates surfaced as standalone since glycine not in Library) and glucuronidation support (Cal D-glucarate).</w:t>
      </w:r>
    </w:p>
    <w:p>
      <w:pPr>
        <w:spacing w:after="60" w:before="120"/>
      </w:pPr>
      <w:r>
        <w:rPr>
          <w:rFonts w:ascii="Roboto" w:cs="Roboto" w:eastAsia="Roboto" w:hAnsi="Roboto"/>
          <w:b/>
          <w:bCs/>
          <w:color w:val="535B50"/>
          <w:sz w:val="22"/>
          <w:szCs w:val="22"/>
        </w:rPr>
        <w:t xml:space="preserve">t,t-Muconic Acid</w:t>
      </w:r>
      <w:r>
        <w:rPr>
          <w:rFonts w:ascii="Roboto" w:cs="Roboto" w:eastAsia="Roboto" w:hAnsi="Roboto"/>
          <w:color w:val="000000"/>
          <w:sz w:val="22"/>
          <w:szCs w:val="22"/>
        </w:rPr>
        <w:t xml:space="preserve">   0.20 mmol/molCR</w:t>
      </w:r>
      <w:r>
        <w:rPr>
          <w:rFonts w:ascii="Roboto" w:cs="Roboto" w:eastAsia="Roboto" w:hAnsi="Roboto"/>
          <w:i/>
          <w:iCs/>
          <w:color w:val="666666"/>
          <w:sz w:val="20"/>
          <w:szCs w:val="20"/>
        </w:rPr>
        <w:t xml:space="preserve">   (ref: &lt;0.12)</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Elevated. Per published frameworks, a marker associated with benzene exposure metabolism.</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Benzene exposure (vehicle exhaust, tobacco smoke, certain solvents) — practitioner to assess relevance.</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Supports antioxidant/Phase II detox emphasis: NAC, milk thistle, vitamin C, Cal D-glucarate.</w:t>
      </w:r>
    </w:p>
    <w:p>
      <w:pPr>
        <w:spacing w:after="60" w:before="120"/>
      </w:pPr>
      <w:r>
        <w:rPr>
          <w:rFonts w:ascii="Roboto" w:cs="Roboto" w:eastAsia="Roboto" w:hAnsi="Roboto"/>
          <w:b/>
          <w:bCs/>
          <w:color w:val="535B50"/>
          <w:sz w:val="22"/>
          <w:szCs w:val="22"/>
        </w:rPr>
        <w:t xml:space="preserve">3-Methylhippuric Acid</w:t>
      </w:r>
      <w:r>
        <w:rPr>
          <w:rFonts w:ascii="Roboto" w:cs="Roboto" w:eastAsia="Roboto" w:hAnsi="Roboto"/>
          <w:color w:val="000000"/>
          <w:sz w:val="22"/>
          <w:szCs w:val="22"/>
        </w:rPr>
        <w:t xml:space="preserve">   0.34 mmol/molCR</w:t>
      </w:r>
      <w:r>
        <w:rPr>
          <w:rFonts w:ascii="Roboto" w:cs="Roboto" w:eastAsia="Roboto" w:hAnsi="Roboto"/>
          <w:i/>
          <w:iCs/>
          <w:color w:val="666666"/>
          <w:sz w:val="20"/>
          <w:szCs w:val="20"/>
        </w:rPr>
        <w:t xml:space="preserve">   (ref: &lt;0.11)</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Elevated. Per published frameworks, a marker associated with xylene exposure metabolism.</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Xylene/toluene exposure (paints, solvents, vehicle exhaust) — practitioner to assess relevance.</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Reinforces antioxidant/conjugation support; glycine is the canonical conjugator and is recommended as a standalone.</w:t>
      </w:r>
    </w:p>
    <w:p>
      <w:pPr>
        <w:spacing w:after="60" w:before="120"/>
      </w:pPr>
      <w:r>
        <w:rPr>
          <w:rFonts w:ascii="Roboto" w:cs="Roboto" w:eastAsia="Roboto" w:hAnsi="Roboto"/>
          <w:b/>
          <w:bCs/>
          <w:color w:val="535B50"/>
          <w:sz w:val="22"/>
          <w:szCs w:val="22"/>
        </w:rPr>
        <w:t xml:space="preserve">4-Hydroxybenzoic Acid (4-HBA)</w:t>
      </w:r>
      <w:r>
        <w:rPr>
          <w:rFonts w:ascii="Roboto" w:cs="Roboto" w:eastAsia="Roboto" w:hAnsi="Roboto"/>
          <w:color w:val="000000"/>
          <w:sz w:val="22"/>
          <w:szCs w:val="22"/>
        </w:rPr>
        <w:t xml:space="preserve">   0.64 mmol/molCR</w:t>
      </w:r>
      <w:r>
        <w:rPr>
          <w:rFonts w:ascii="Roboto" w:cs="Roboto" w:eastAsia="Roboto" w:hAnsi="Roboto"/>
          <w:i/>
          <w:iCs/>
          <w:color w:val="666666"/>
          <w:sz w:val="20"/>
          <w:szCs w:val="20"/>
        </w:rPr>
        <w:t xml:space="preserve">   (ref: &lt;0.57)</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Mildly elevated. Per published frameworks, associated with paraben exposure metabolism.</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Paraben exposure (cosmetics, personal care, food preservatives) — practitioner to assess relevance.</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Reinforces xenobiotic-conjugation axis emphasis.</w:t>
      </w:r>
    </w:p>
    <w:p>
      <w:pPr>
        <w:spacing w:after="60" w:before="120"/>
      </w:pPr>
      <w:r>
        <w:rPr>
          <w:rFonts w:ascii="Roboto" w:cs="Roboto" w:eastAsia="Roboto" w:hAnsi="Roboto"/>
          <w:b/>
          <w:bCs/>
          <w:color w:val="535B50"/>
          <w:sz w:val="22"/>
          <w:szCs w:val="22"/>
        </w:rPr>
        <w:t xml:space="preserve">5-Hydroxymethyl-2-furoic Acid</w:t>
      </w:r>
      <w:r>
        <w:rPr>
          <w:rFonts w:ascii="Roboto" w:cs="Roboto" w:eastAsia="Roboto" w:hAnsi="Roboto"/>
          <w:color w:val="000000"/>
          <w:sz w:val="22"/>
          <w:szCs w:val="22"/>
        </w:rPr>
        <w:t xml:space="preserve">   18.50 mmol/molCR</w:t>
      </w:r>
      <w:r>
        <w:rPr>
          <w:rFonts w:ascii="Roboto" w:cs="Roboto" w:eastAsia="Roboto" w:hAnsi="Roboto"/>
          <w:i/>
          <w:iCs/>
          <w:color w:val="666666"/>
          <w:sz w:val="20"/>
          <w:szCs w:val="20"/>
        </w:rPr>
        <w:t xml:space="preserve">   (ref: &lt;10.00)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Elevated. Per published frameworks, associated with HMF intake from heated/processed foods.</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Dietary HMF (caramelised, baked, roasted foods, dried fruit) — practitioner to assess.</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Supports Phase II conjugation and antioxidant inclusion.</w:t>
      </w:r>
    </w:p>
    <w:p>
      <w:pPr>
        <w:spacing w:after="60" w:before="120"/>
      </w:pPr>
      <w:r>
        <w:rPr>
          <w:rFonts w:ascii="Roboto" w:cs="Roboto" w:eastAsia="Roboto" w:hAnsi="Roboto"/>
          <w:b/>
          <w:bCs/>
          <w:color w:val="535B50"/>
          <w:sz w:val="22"/>
          <w:szCs w:val="22"/>
        </w:rPr>
        <w:t xml:space="preserve">8-hydroxy-deoxyguanosine (8-OHdG)</w:t>
      </w:r>
      <w:r>
        <w:rPr>
          <w:rFonts w:ascii="Roboto" w:cs="Roboto" w:eastAsia="Roboto" w:hAnsi="Roboto"/>
          <w:color w:val="000000"/>
          <w:sz w:val="22"/>
          <w:szCs w:val="22"/>
        </w:rPr>
        <w:t xml:space="preserve">   3.80 umol/molCR</w:t>
      </w:r>
      <w:r>
        <w:rPr>
          <w:rFonts w:ascii="Roboto" w:cs="Roboto" w:eastAsia="Roboto" w:hAnsi="Roboto"/>
          <w:i/>
          <w:iCs/>
          <w:color w:val="666666"/>
          <w:sz w:val="20"/>
          <w:szCs w:val="20"/>
        </w:rPr>
        <w:t xml:space="preserve">   (ref: &lt;2.70)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Elevated. Per published frameworks, a marker of oxidative DNA damage.</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Chronic oxidative stress, xenobiotic burden, inflammatory load — practitioner to assess.</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Anchors the antioxidant/redox axis: NAC, vitamin C, vitamin E, resveratrol, milk thistle.</w:t>
      </w:r>
    </w:p>
    <w:p>
      <w:pPr>
        <w:spacing w:after="60" w:before="120"/>
      </w:pPr>
      <w:r>
        <w:rPr>
          <w:rFonts w:ascii="Roboto" w:cs="Roboto" w:eastAsia="Roboto" w:hAnsi="Roboto"/>
          <w:b/>
          <w:bCs/>
          <w:color w:val="535B50"/>
          <w:sz w:val="22"/>
          <w:szCs w:val="22"/>
        </w:rPr>
        <w:t xml:space="preserve">Leukotriene E4</w:t>
      </w:r>
      <w:r>
        <w:rPr>
          <w:rFonts w:ascii="Roboto" w:cs="Roboto" w:eastAsia="Roboto" w:hAnsi="Roboto"/>
          <w:color w:val="000000"/>
          <w:sz w:val="22"/>
          <w:szCs w:val="22"/>
        </w:rPr>
        <w:t xml:space="preserve">   195.00 pg/mgCR</w:t>
      </w:r>
      <w:r>
        <w:rPr>
          <w:rFonts w:ascii="Roboto" w:cs="Roboto" w:eastAsia="Roboto" w:hAnsi="Roboto"/>
          <w:i/>
          <w:iCs/>
          <w:color w:val="666666"/>
          <w:sz w:val="20"/>
          <w:szCs w:val="20"/>
        </w:rPr>
        <w:t xml:space="preserve">   (ref: &lt;100.00)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Elevated. Per published frameworks, suggests increased 5-LOX inflammatory pathway activity.</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Mast-cell activation, allergic inflammation, atopy — practitioner to assess.</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Supports inclusion of anti-inflammatory ingredients with 5-LOX coverage (Boswellia, quercetin) and curcumin for NF-κB.</w:t>
      </w:r>
    </w:p>
    <w:p>
      <w:pPr>
        <w:spacing w:after="60" w:before="120"/>
      </w:pPr>
      <w:r>
        <w:rPr>
          <w:rFonts w:ascii="Roboto" w:cs="Roboto" w:eastAsia="Roboto" w:hAnsi="Roboto"/>
          <w:b/>
          <w:bCs/>
          <w:color w:val="535B50"/>
          <w:sz w:val="22"/>
          <w:szCs w:val="22"/>
        </w:rPr>
        <w:t xml:space="preserve">Isocitric Acid</w:t>
      </w:r>
      <w:r>
        <w:rPr>
          <w:rFonts w:ascii="Roboto" w:cs="Roboto" w:eastAsia="Roboto" w:hAnsi="Roboto"/>
          <w:color w:val="000000"/>
          <w:sz w:val="22"/>
          <w:szCs w:val="22"/>
        </w:rPr>
        <w:t xml:space="preserve">   86.00 mmol/molCR</w:t>
      </w:r>
      <w:r>
        <w:rPr>
          <w:rFonts w:ascii="Roboto" w:cs="Roboto" w:eastAsia="Roboto" w:hAnsi="Roboto"/>
          <w:i/>
          <w:iCs/>
          <w:color w:val="666666"/>
          <w:sz w:val="20"/>
          <w:szCs w:val="20"/>
        </w:rPr>
        <w:t xml:space="preserve">   (ref: 5.00-65.00)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Elevated. Per published frameworks, suggests reduced isocitrate dehydrogenase flux — manganese/Mg/NAD+ dependent.</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Mitochondrial strain, manganese functional insufficiency, NAD+ availability — practitioner to assess.</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Supports mitochondrial/cardiovascular axis: CoQ10, alpha-lipoic acid, B-vitamin cofactors.</w:t>
      </w:r>
    </w:p>
    <w:p>
      <w:pPr>
        <w:spacing w:after="60" w:before="120"/>
      </w:pPr>
      <w:r>
        <w:rPr>
          <w:rFonts w:ascii="Roboto" w:cs="Roboto" w:eastAsia="Roboto" w:hAnsi="Roboto"/>
          <w:b/>
          <w:bCs/>
          <w:color w:val="535B50"/>
          <w:sz w:val="22"/>
          <w:szCs w:val="22"/>
        </w:rPr>
        <w:t xml:space="preserve">2-Oxoglutaric Acid (alpha-ketoglutarate)</w:t>
      </w:r>
      <w:r>
        <w:rPr>
          <w:rFonts w:ascii="Roboto" w:cs="Roboto" w:eastAsia="Roboto" w:hAnsi="Roboto"/>
          <w:color w:val="000000"/>
          <w:sz w:val="22"/>
          <w:szCs w:val="22"/>
        </w:rPr>
        <w:t xml:space="preserve">   65.00 mmol/molCR</w:t>
      </w:r>
      <w:r>
        <w:rPr>
          <w:rFonts w:ascii="Roboto" w:cs="Roboto" w:eastAsia="Roboto" w:hAnsi="Roboto"/>
          <w:i/>
          <w:iCs/>
          <w:color w:val="666666"/>
          <w:sz w:val="20"/>
          <w:szCs w:val="20"/>
        </w:rPr>
        <w:t xml:space="preserve">   (ref: 2.00-45.00)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Elevated. Per published frameworks, may reflect 2-OG dehydrogenase flux limitation (B1, B2, B3, B5, lipoic acid dependent).</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B-vitamin cofactor insufficiency, mitochondrial strain — practitioner to assess.</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Supports inclusion of B1, B2, B3, B5 and alpha-lipoic acid.</w:t>
      </w:r>
    </w:p>
    <w:p>
      <w:pPr>
        <w:spacing w:after="60" w:before="120"/>
      </w:pPr>
      <w:r>
        <w:rPr>
          <w:rFonts w:ascii="Roboto" w:cs="Roboto" w:eastAsia="Roboto" w:hAnsi="Roboto"/>
          <w:b/>
          <w:bCs/>
          <w:color w:val="535B50"/>
          <w:sz w:val="22"/>
          <w:szCs w:val="22"/>
        </w:rPr>
        <w:t xml:space="preserve">3-Methylglutaconic Acid</w:t>
      </w:r>
      <w:r>
        <w:rPr>
          <w:rFonts w:ascii="Roboto" w:cs="Roboto" w:eastAsia="Roboto" w:hAnsi="Roboto"/>
          <w:color w:val="000000"/>
          <w:sz w:val="22"/>
          <w:szCs w:val="22"/>
        </w:rPr>
        <w:t xml:space="preserve">   6.32 mmol/molCR</w:t>
      </w:r>
      <w:r>
        <w:rPr>
          <w:rFonts w:ascii="Roboto" w:cs="Roboto" w:eastAsia="Roboto" w:hAnsi="Roboto"/>
          <w:i/>
          <w:iCs/>
          <w:color w:val="666666"/>
          <w:sz w:val="20"/>
          <w:szCs w:val="20"/>
        </w:rPr>
        <w:t xml:space="preserve">   (ref: &lt;5.50)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Mildly elevated. Per published frameworks, may reflect mitochondrial leucine metabolism strain.</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Mitochondrial inner-membrane stress, CoQ10 status — practitioner to assess.</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Reinforces CoQ10 and mitochondrial support.</w:t>
      </w:r>
    </w:p>
    <w:p>
      <w:pPr>
        <w:spacing w:after="60" w:before="120"/>
      </w:pPr>
      <w:r>
        <w:rPr>
          <w:rFonts w:ascii="Roboto" w:cs="Roboto" w:eastAsia="Roboto" w:hAnsi="Roboto"/>
          <w:b/>
          <w:bCs/>
          <w:color w:val="535B50"/>
          <w:sz w:val="22"/>
          <w:szCs w:val="22"/>
        </w:rPr>
        <w:t xml:space="preserve">Mevalonolactone</w:t>
      </w:r>
      <w:r>
        <w:rPr>
          <w:rFonts w:ascii="Roboto" w:cs="Roboto" w:eastAsia="Roboto" w:hAnsi="Roboto"/>
          <w:color w:val="000000"/>
          <w:sz w:val="22"/>
          <w:szCs w:val="22"/>
        </w:rPr>
        <w:t xml:space="preserve">   2.80 mmol/molCR</w:t>
      </w:r>
      <w:r>
        <w:rPr>
          <w:rFonts w:ascii="Roboto" w:cs="Roboto" w:eastAsia="Roboto" w:hAnsi="Roboto"/>
          <w:i/>
          <w:iCs/>
          <w:color w:val="666666"/>
          <w:sz w:val="20"/>
          <w:szCs w:val="20"/>
        </w:rPr>
        <w:t xml:space="preserve">   (ref: &lt;2.00)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Elevated. Per published frameworks, mevalonate pathway flux marker — relevant to CoQ10 synthesis.</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HMG-CoA reductase activity, statin use — practitioner to assess.</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Supports CoQ10 inclusion.</w:t>
      </w:r>
    </w:p>
    <w:p>
      <w:pPr>
        <w:spacing w:after="60" w:before="120"/>
      </w:pPr>
      <w:r>
        <w:rPr>
          <w:rFonts w:ascii="Roboto" w:cs="Roboto" w:eastAsia="Roboto" w:hAnsi="Roboto"/>
          <w:b/>
          <w:bCs/>
          <w:color w:val="535B50"/>
          <w:sz w:val="22"/>
          <w:szCs w:val="22"/>
        </w:rPr>
        <w:t xml:space="preserve">Adipic Acid</w:t>
      </w:r>
      <w:r>
        <w:rPr>
          <w:rFonts w:ascii="Roboto" w:cs="Roboto" w:eastAsia="Roboto" w:hAnsi="Roboto"/>
          <w:color w:val="000000"/>
          <w:sz w:val="22"/>
          <w:szCs w:val="22"/>
        </w:rPr>
        <w:t xml:space="preserve">   4.30 mmol/molCR</w:t>
      </w:r>
      <w:r>
        <w:rPr>
          <w:rFonts w:ascii="Roboto" w:cs="Roboto" w:eastAsia="Roboto" w:hAnsi="Roboto"/>
          <w:i/>
          <w:iCs/>
          <w:color w:val="666666"/>
          <w:sz w:val="20"/>
          <w:szCs w:val="20"/>
        </w:rPr>
        <w:t xml:space="preserve">   (ref: &lt;3.80)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Mildly elevated. Per published frameworks, suggests increased fatty-acid omega-oxidation when beta-oxidation is constrained.</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Carnitine status, mitochondrial fatty acid oxidation strain — practitioner to assess.</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Supports mitochondrial axis (CoQ10, ALA). L-carnitine not in supplied Library — surfaced as standalone.</w:t>
      </w:r>
    </w:p>
    <w:p>
      <w:pPr>
        <w:spacing w:after="60" w:before="120"/>
      </w:pPr>
      <w:r>
        <w:rPr>
          <w:rFonts w:ascii="Roboto" w:cs="Roboto" w:eastAsia="Roboto" w:hAnsi="Roboto"/>
          <w:b/>
          <w:bCs/>
          <w:color w:val="535B50"/>
          <w:sz w:val="22"/>
          <w:szCs w:val="22"/>
        </w:rPr>
        <w:t xml:space="preserve">Quinolinic Acid</w:t>
      </w:r>
      <w:r>
        <w:rPr>
          <w:rFonts w:ascii="Roboto" w:cs="Roboto" w:eastAsia="Roboto" w:hAnsi="Roboto"/>
          <w:color w:val="000000"/>
          <w:sz w:val="22"/>
          <w:szCs w:val="22"/>
        </w:rPr>
        <w:t xml:space="preserve">   11.80 mmol/molCR</w:t>
      </w:r>
      <w:r>
        <w:rPr>
          <w:rFonts w:ascii="Roboto" w:cs="Roboto" w:eastAsia="Roboto" w:hAnsi="Roboto"/>
          <w:i/>
          <w:iCs/>
          <w:color w:val="666666"/>
          <w:sz w:val="20"/>
          <w:szCs w:val="20"/>
        </w:rPr>
        <w:t xml:space="preserve">   (ref: &lt;9.10)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Elevated. Per published frameworks, kynurenine pathway shifted toward the neurotoxic arm.</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Inflammatory IDO induction, B6 insufficiency at kynureninase step — practitioner to assess.</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Supports P5P (active B6) and anti-inflammatory inclusion.</w:t>
      </w:r>
    </w:p>
    <w:p>
      <w:pPr>
        <w:spacing w:after="60" w:before="120"/>
      </w:pPr>
      <w:r>
        <w:rPr>
          <w:rFonts w:ascii="Roboto" w:cs="Roboto" w:eastAsia="Roboto" w:hAnsi="Roboto"/>
          <w:b/>
          <w:bCs/>
          <w:color w:val="535B50"/>
          <w:sz w:val="22"/>
          <w:szCs w:val="22"/>
        </w:rPr>
        <w:t xml:space="preserve">Kynurenic Acid</w:t>
      </w:r>
      <w:r>
        <w:rPr>
          <w:rFonts w:ascii="Roboto" w:cs="Roboto" w:eastAsia="Roboto" w:hAnsi="Roboto"/>
          <w:color w:val="000000"/>
          <w:sz w:val="22"/>
          <w:szCs w:val="22"/>
        </w:rPr>
        <w:t xml:space="preserve">   3.10 mmol/molCR</w:t>
      </w:r>
      <w:r>
        <w:rPr>
          <w:rFonts w:ascii="Roboto" w:cs="Roboto" w:eastAsia="Roboto" w:hAnsi="Roboto"/>
          <w:i/>
          <w:iCs/>
          <w:color w:val="666666"/>
          <w:sz w:val="20"/>
          <w:szCs w:val="20"/>
        </w:rPr>
        <w:t xml:space="preserve">   (ref: &lt;2.20)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Elevated. Pattern of kynurenine pathway upregulation.</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Pro-inflammatory state — practitioner to assess.</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Supports anti-inflammatory and B6 inclusion.</w:t>
      </w:r>
    </w:p>
    <w:p>
      <w:pPr>
        <w:spacing w:after="60" w:before="120"/>
      </w:pPr>
      <w:r>
        <w:rPr>
          <w:rFonts w:ascii="Roboto" w:cs="Roboto" w:eastAsia="Roboto" w:hAnsi="Roboto"/>
          <w:b/>
          <w:bCs/>
          <w:color w:val="535B50"/>
          <w:sz w:val="22"/>
          <w:szCs w:val="22"/>
        </w:rPr>
        <w:t xml:space="preserve">Xanthurenic Acid</w:t>
      </w:r>
      <w:r>
        <w:rPr>
          <w:rFonts w:ascii="Roboto" w:cs="Roboto" w:eastAsia="Roboto" w:hAnsi="Roboto"/>
          <w:color w:val="000000"/>
          <w:sz w:val="22"/>
          <w:szCs w:val="22"/>
        </w:rPr>
        <w:t xml:space="preserve">   1.92 mmol/molCR</w:t>
      </w:r>
      <w:r>
        <w:rPr>
          <w:rFonts w:ascii="Roboto" w:cs="Roboto" w:eastAsia="Roboto" w:hAnsi="Roboto"/>
          <w:i/>
          <w:iCs/>
          <w:color w:val="666666"/>
          <w:sz w:val="20"/>
          <w:szCs w:val="20"/>
        </w:rPr>
        <w:t xml:space="preserve">   (ref: &lt;0.96)</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Elevated. Per published frameworks, classical functional marker of B6 insufficiency at the kynureninase step.</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Functional B6 insufficiency — practitioner to assess.</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Anchors inclusion of pyridoxal-5-phosphate (P5P).</w:t>
      </w:r>
    </w:p>
    <w:p>
      <w:pPr>
        <w:spacing w:after="60" w:before="120"/>
      </w:pPr>
      <w:r>
        <w:rPr>
          <w:rFonts w:ascii="Roboto" w:cs="Roboto" w:eastAsia="Roboto" w:hAnsi="Roboto"/>
          <w:b/>
          <w:bCs/>
          <w:color w:val="535B50"/>
          <w:sz w:val="22"/>
          <w:szCs w:val="22"/>
        </w:rPr>
        <w:t xml:space="preserve">Quinolinic/5-HIAA Ratio</w:t>
      </w:r>
      <w:r>
        <w:rPr>
          <w:rFonts w:ascii="Roboto" w:cs="Roboto" w:eastAsia="Roboto" w:hAnsi="Roboto"/>
          <w:color w:val="000000"/>
          <w:sz w:val="22"/>
          <w:szCs w:val="22"/>
        </w:rPr>
        <w:t xml:space="preserve">   10.4 ratio</w:t>
      </w:r>
      <w:r>
        <w:rPr>
          <w:rFonts w:ascii="Roboto" w:cs="Roboto" w:eastAsia="Roboto" w:hAnsi="Roboto"/>
          <w:i/>
          <w:iCs/>
          <w:color w:val="666666"/>
          <w:sz w:val="20"/>
          <w:szCs w:val="20"/>
        </w:rPr>
        <w:t xml:space="preserve">   (ref: &lt;5.0)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Elevated. Pattern suggestive of tryptophan diversion away from serotonin toward kynurenine arm.</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Inflammation-driven IDO upregulation — practitioner to assess.</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Supports anti-inflammatory axis and B6 cofactor.</w:t>
      </w:r>
    </w:p>
    <w:p>
      <w:pPr>
        <w:spacing w:after="60" w:before="120"/>
      </w:pPr>
      <w:r>
        <w:rPr>
          <w:rFonts w:ascii="Roboto" w:cs="Roboto" w:eastAsia="Roboto" w:hAnsi="Roboto"/>
          <w:b/>
          <w:bCs/>
          <w:color w:val="535B50"/>
          <w:sz w:val="22"/>
          <w:szCs w:val="22"/>
        </w:rPr>
        <w:t xml:space="preserve">5-Methylcytosine</w:t>
      </w:r>
      <w:r>
        <w:rPr>
          <w:rFonts w:ascii="Roboto" w:cs="Roboto" w:eastAsia="Roboto" w:hAnsi="Roboto"/>
          <w:color w:val="000000"/>
          <w:sz w:val="22"/>
          <w:szCs w:val="22"/>
        </w:rPr>
        <w:t xml:space="preserve">   68.00 mmol/molCR</w:t>
      </w:r>
      <w:r>
        <w:rPr>
          <w:rFonts w:ascii="Roboto" w:cs="Roboto" w:eastAsia="Roboto" w:hAnsi="Roboto"/>
          <w:i/>
          <w:iCs/>
          <w:color w:val="666666"/>
          <w:sz w:val="20"/>
          <w:szCs w:val="20"/>
        </w:rPr>
        <w:t xml:space="preserve">   (ref: 10.00-50.00)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Elevated. Per published frameworks, may reflect altered methylation/DNA turnover.</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Methylation cycle stress, oxidative DNA turnover — practitioner to assess.</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Supports B12/folate/B6/B2 inclusion.</w:t>
      </w:r>
    </w:p>
    <w:p>
      <w:pPr>
        <w:spacing w:after="60" w:before="120"/>
      </w:pPr>
      <w:r>
        <w:rPr>
          <w:rFonts w:ascii="Roboto" w:cs="Roboto" w:eastAsia="Roboto" w:hAnsi="Roboto"/>
          <w:b/>
          <w:bCs/>
          <w:color w:val="535B50"/>
          <w:sz w:val="22"/>
          <w:szCs w:val="22"/>
        </w:rPr>
        <w:t xml:space="preserve">Guanidinoacetic Acid</w:t>
      </w:r>
      <w:r>
        <w:rPr>
          <w:rFonts w:ascii="Roboto" w:cs="Roboto" w:eastAsia="Roboto" w:hAnsi="Roboto"/>
          <w:color w:val="000000"/>
          <w:sz w:val="22"/>
          <w:szCs w:val="22"/>
        </w:rPr>
        <w:t xml:space="preserve">   4.80 mmol/molCR</w:t>
      </w:r>
      <w:r>
        <w:rPr>
          <w:rFonts w:ascii="Roboto" w:cs="Roboto" w:eastAsia="Roboto" w:hAnsi="Roboto"/>
          <w:i/>
          <w:iCs/>
          <w:color w:val="666666"/>
          <w:sz w:val="20"/>
          <w:szCs w:val="20"/>
        </w:rPr>
        <w:t xml:space="preserve">   (ref: 0.50-3.00)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Elevated. Per published frameworks, methylation precursor accumulation suggests SAMe demand for creatine synthesis.</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Methylation pathway demand exceeding supply — practitioner to assess.</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Supports methylation B-vitamin stack.</w:t>
      </w:r>
    </w:p>
    <w:p>
      <w:pPr>
        <w:spacing w:after="60" w:before="120"/>
      </w:pPr>
      <w:r>
        <w:rPr>
          <w:rFonts w:ascii="Roboto" w:cs="Roboto" w:eastAsia="Roboto" w:hAnsi="Roboto"/>
          <w:b/>
          <w:bCs/>
          <w:color w:val="535B50"/>
          <w:sz w:val="22"/>
          <w:szCs w:val="22"/>
        </w:rPr>
        <w:t xml:space="preserve">2-Oxo-4-methiolbutyric Acid (KMBA)</w:t>
      </w:r>
      <w:r>
        <w:rPr>
          <w:rFonts w:ascii="Roboto" w:cs="Roboto" w:eastAsia="Roboto" w:hAnsi="Roboto"/>
          <w:color w:val="000000"/>
          <w:sz w:val="22"/>
          <w:szCs w:val="22"/>
        </w:rPr>
        <w:t xml:space="preserve">   3.20 mmol/molCR</w:t>
      </w:r>
      <w:r>
        <w:rPr>
          <w:rFonts w:ascii="Roboto" w:cs="Roboto" w:eastAsia="Roboto" w:hAnsi="Roboto"/>
          <w:i/>
          <w:iCs/>
          <w:color w:val="666666"/>
          <w:sz w:val="20"/>
          <w:szCs w:val="20"/>
        </w:rPr>
        <w:t xml:space="preserve">   (ref: &lt;1.50)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Elevated. Per published frameworks, methionine recycling intermediate accumulation.</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Methylation cycle strain, oxidative stress on methionine — practitioner to assess.</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Supports B12 and methylation cofactors.</w:t>
      </w:r>
    </w:p>
    <w:p>
      <w:pPr>
        <w:spacing w:after="60" w:before="120"/>
      </w:pPr>
      <w:r>
        <w:rPr>
          <w:rFonts w:ascii="Roboto" w:cs="Roboto" w:eastAsia="Roboto" w:hAnsi="Roboto"/>
          <w:b/>
          <w:bCs/>
          <w:color w:val="535B50"/>
          <w:sz w:val="22"/>
          <w:szCs w:val="22"/>
        </w:rPr>
        <w:t xml:space="preserve">Arabinose</w:t>
      </w:r>
      <w:r>
        <w:rPr>
          <w:rFonts w:ascii="Roboto" w:cs="Roboto" w:eastAsia="Roboto" w:hAnsi="Roboto"/>
          <w:color w:val="000000"/>
          <w:sz w:val="22"/>
          <w:szCs w:val="22"/>
        </w:rPr>
        <w:t xml:space="preserve">   42.00 mmol/molCR</w:t>
      </w:r>
      <w:r>
        <w:rPr>
          <w:rFonts w:ascii="Roboto" w:cs="Roboto" w:eastAsia="Roboto" w:hAnsi="Roboto"/>
          <w:i/>
          <w:iCs/>
          <w:color w:val="666666"/>
          <w:sz w:val="20"/>
          <w:szCs w:val="20"/>
        </w:rPr>
        <w:t xml:space="preserve">   (ref: &lt;32.00)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Mildly elevated. Per published frameworks, associated with intestinal yeast/Candida activity.</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Yeast/fungal dysbiosis — practitioner to assess.</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GI axis emphasis modest; standalone probiotic recommended (not in Library).</w:t>
      </w:r>
    </w:p>
    <w:p>
      <w:pPr>
        <w:spacing w:after="60" w:before="120"/>
      </w:pPr>
      <w:r>
        <w:rPr>
          <w:rFonts w:ascii="Roboto" w:cs="Roboto" w:eastAsia="Roboto" w:hAnsi="Roboto"/>
          <w:b/>
          <w:bCs/>
          <w:color w:val="535B50"/>
          <w:sz w:val="22"/>
          <w:szCs w:val="22"/>
        </w:rPr>
        <w:t xml:space="preserve">3,4-Dihydroxybenzoic Acid (3,4-DHBA)</w:t>
      </w:r>
      <w:r>
        <w:rPr>
          <w:rFonts w:ascii="Roboto" w:cs="Roboto" w:eastAsia="Roboto" w:hAnsi="Roboto"/>
          <w:color w:val="000000"/>
          <w:sz w:val="22"/>
          <w:szCs w:val="22"/>
        </w:rPr>
        <w:t xml:space="preserve">   62.00 mmol/molCR</w:t>
      </w:r>
      <w:r>
        <w:rPr>
          <w:rFonts w:ascii="Roboto" w:cs="Roboto" w:eastAsia="Roboto" w:hAnsi="Roboto"/>
          <w:i/>
          <w:iCs/>
          <w:color w:val="666666"/>
          <w:sz w:val="20"/>
          <w:szCs w:val="20"/>
        </w:rPr>
        <w:t xml:space="preserve">   (ref: &lt;45.00)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Mildly elevated. Per published frameworks, microbial polyphenol metabolite.</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Dysbiotic microbial activity — practitioner to assess.</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Modest GI emphasis.</w:t>
      </w:r>
    </w:p>
    <w:p>
      <w:pPr>
        <w:spacing w:after="60" w:before="120"/>
      </w:pPr>
      <w:r>
        <w:rPr>
          <w:rFonts w:ascii="Roboto" w:cs="Roboto" w:eastAsia="Roboto" w:hAnsi="Roboto"/>
          <w:b/>
          <w:bCs/>
          <w:color w:val="535B50"/>
          <w:sz w:val="22"/>
          <w:szCs w:val="22"/>
        </w:rPr>
        <w:t xml:space="preserve">Furancarbonylglycine</w:t>
      </w:r>
      <w:r>
        <w:rPr>
          <w:rFonts w:ascii="Roboto" w:cs="Roboto" w:eastAsia="Roboto" w:hAnsi="Roboto"/>
          <w:color w:val="000000"/>
          <w:sz w:val="22"/>
          <w:szCs w:val="22"/>
        </w:rPr>
        <w:t xml:space="preserve">   2.90 mmol/molCR</w:t>
      </w:r>
      <w:r>
        <w:rPr>
          <w:rFonts w:ascii="Roboto" w:cs="Roboto" w:eastAsia="Roboto" w:hAnsi="Roboto"/>
          <w:i/>
          <w:iCs/>
          <w:color w:val="666666"/>
          <w:sz w:val="20"/>
          <w:szCs w:val="20"/>
        </w:rPr>
        <w:t xml:space="preserve">   (ref: &lt;2.00)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Mildly elevated. Pattern consistent with furan exposure or dysbiotic origin.</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Dietary HMF/furan exposure, dysbiosis — practitioner to assess.</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Supports glycine conjugation (standalone) and Phase II support.</w:t>
      </w:r>
    </w:p>
    <w:p>
      <w:pPr>
        <w:spacing w:after="60" w:before="120"/>
      </w:pPr>
      <w:r>
        <w:rPr>
          <w:rFonts w:ascii="Roboto" w:cs="Roboto" w:eastAsia="Roboto" w:hAnsi="Roboto"/>
          <w:b/>
          <w:bCs/>
          <w:color w:val="535B50"/>
          <w:sz w:val="22"/>
          <w:szCs w:val="22"/>
        </w:rPr>
        <w:t xml:space="preserve">Phenylpyruvic Acid</w:t>
      </w:r>
      <w:r>
        <w:rPr>
          <w:rFonts w:ascii="Roboto" w:cs="Roboto" w:eastAsia="Roboto" w:hAnsi="Roboto"/>
          <w:color w:val="000000"/>
          <w:sz w:val="22"/>
          <w:szCs w:val="22"/>
        </w:rPr>
        <w:t xml:space="preserve">   4.50 mmol/molCR</w:t>
      </w:r>
      <w:r>
        <w:rPr>
          <w:rFonts w:ascii="Roboto" w:cs="Roboto" w:eastAsia="Roboto" w:hAnsi="Roboto"/>
          <w:i/>
          <w:iCs/>
          <w:color w:val="666666"/>
          <w:sz w:val="20"/>
          <w:szCs w:val="20"/>
        </w:rPr>
        <w:t xml:space="preserve">   (ref: &lt;2.00)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Elevated. Per published frameworks, phenylalanine catabolism intermediate.</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Functional cofactor insufficiency in phenylalanine hydroxylation — practitioner to assess.</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Noted; not driving direct formulation change.</w:t>
      </w:r>
    </w:p>
    <w:p>
      <w:pPr>
        <w:spacing w:after="60" w:before="120"/>
      </w:pPr>
      <w:r>
        <w:rPr>
          <w:rFonts w:ascii="Roboto" w:cs="Roboto" w:eastAsia="Roboto" w:hAnsi="Roboto"/>
          <w:b/>
          <w:bCs/>
          <w:color w:val="535B50"/>
          <w:sz w:val="22"/>
          <w:szCs w:val="22"/>
        </w:rPr>
        <w:t xml:space="preserve">Cortisol (OA)</w:t>
      </w:r>
      <w:r>
        <w:rPr>
          <w:rFonts w:ascii="Roboto" w:cs="Roboto" w:eastAsia="Roboto" w:hAnsi="Roboto"/>
          <w:color w:val="000000"/>
          <w:sz w:val="22"/>
          <w:szCs w:val="22"/>
        </w:rPr>
        <w:t xml:space="preserve">   25.3 ug/gCR</w:t>
      </w:r>
      <w:r>
        <w:rPr>
          <w:rFonts w:ascii="Roboto" w:cs="Roboto" w:eastAsia="Roboto" w:hAnsi="Roboto"/>
          <w:i/>
          <w:iCs/>
          <w:color w:val="666666"/>
          <w:sz w:val="20"/>
          <w:szCs w:val="20"/>
        </w:rPr>
        <w:t xml:space="preserve">   (ref: 1.0-63.8)</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Within laboratory reference range.</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n/a</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HPA axis not flagged for primary intervention.</w:t>
      </w:r>
    </w:p>
    <w:p>
      <w:pPr>
        <w:spacing w:after="60" w:before="120"/>
      </w:pPr>
      <w:r>
        <w:rPr>
          <w:rFonts w:ascii="Roboto" w:cs="Roboto" w:eastAsia="Roboto" w:hAnsi="Roboto"/>
          <w:b/>
          <w:bCs/>
          <w:color w:val="535B50"/>
          <w:sz w:val="22"/>
          <w:szCs w:val="22"/>
        </w:rPr>
        <w:t xml:space="preserve">Pyroglutamic Acid</w:t>
      </w:r>
      <w:r>
        <w:rPr>
          <w:rFonts w:ascii="Roboto" w:cs="Roboto" w:eastAsia="Roboto" w:hAnsi="Roboto"/>
          <w:color w:val="000000"/>
          <w:sz w:val="22"/>
          <w:szCs w:val="22"/>
        </w:rPr>
        <w:t xml:space="preserve">   28.80 mmol/molCR</w:t>
      </w:r>
      <w:r>
        <w:rPr>
          <w:rFonts w:ascii="Roboto" w:cs="Roboto" w:eastAsia="Roboto" w:hAnsi="Roboto"/>
          <w:i/>
          <w:iCs/>
          <w:color w:val="666666"/>
          <w:sz w:val="20"/>
          <w:szCs w:val="20"/>
        </w:rPr>
        <w:t xml:space="preserve">   (ref: 4.50-33.00)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Upper portion of reference range. Per published frameworks, may reflect glutathione cycling demand.</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Glutathione turnover demand — practitioner to assess.</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Reinforces NAC and glutathione precursor inclusion.</w:t>
      </w:r>
    </w:p>
    <w:p>
      <w:pPr>
        <w:spacing w:after="60" w:before="120"/>
      </w:pPr>
      <w:r>
        <w:rPr>
          <w:rFonts w:ascii="Roboto" w:cs="Roboto" w:eastAsia="Roboto" w:hAnsi="Roboto"/>
          <w:b/>
          <w:bCs/>
          <w:color w:val="535B50"/>
          <w:sz w:val="22"/>
          <w:szCs w:val="22"/>
        </w:rPr>
        <w:t xml:space="preserve">Methylmalonic Acid (MMA)</w:t>
      </w:r>
      <w:r>
        <w:rPr>
          <w:rFonts w:ascii="Roboto" w:cs="Roboto" w:eastAsia="Roboto" w:hAnsi="Roboto"/>
          <w:color w:val="000000"/>
          <w:sz w:val="22"/>
          <w:szCs w:val="22"/>
        </w:rPr>
        <w:t xml:space="preserve">   1.65 mmol/molCR</w:t>
      </w:r>
      <w:r>
        <w:rPr>
          <w:rFonts w:ascii="Roboto" w:cs="Roboto" w:eastAsia="Roboto" w:hAnsi="Roboto"/>
          <w:i/>
          <w:iCs/>
          <w:color w:val="666666"/>
          <w:sz w:val="20"/>
          <w:szCs w:val="20"/>
        </w:rPr>
        <w:t xml:space="preserve">   (ref: &lt;1.90)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Within reference range — overt B12 functional insufficiency not evident.</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n/a</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Conservative B12 dose used.</w:t>
      </w:r>
    </w:p>
    <w:p>
      <w:pPr>
        <w:pBdr>
          <w:bottom w:val="single" w:color="C3AF88" w:sz="6" w:space="4"/>
        </w:pBdr>
        <w:spacing w:after="180" w:before="360"/>
      </w:pPr>
      <w:r>
        <w:rPr>
          <w:rFonts w:ascii="Roboto" w:cs="Roboto" w:eastAsia="Roboto" w:hAnsi="Roboto"/>
          <w:b/>
          <w:bCs/>
          <w:color w:val="535B50"/>
          <w:sz w:val="28"/>
          <w:szCs w:val="28"/>
        </w:rPr>
        <w:t xml:space="preserve">Section 3 — Diet and Lifestyle Considerations</w:t>
      </w:r>
    </w:p>
    <w:p>
      <w:pPr>
        <w:spacing w:after="240"/>
      </w:pPr>
      <w:r>
        <w:rPr>
          <w:rFonts w:ascii="Roboto" w:cs="Roboto" w:eastAsia="Roboto" w:hAnsi="Roboto"/>
          <w:b w:val="false"/>
          <w:bCs w:val="false"/>
          <w:color w:val="000000"/>
          <w:sz w:val="22"/>
          <w:szCs w:val="22"/>
        </w:rPr>
        <w:t xml:space="preserve">The following considerations are surfaced for practitioner-led discussion. They sit alongside the recommended formulation rather than substituting for it.</w:t>
      </w:r>
    </w:p>
    <w:p>
      <w:pPr>
        <w:spacing w:after="60" w:before="120"/>
      </w:pPr>
      <w:r>
        <w:rPr>
          <w:rFonts w:ascii="Roboto" w:cs="Roboto" w:eastAsia="Roboto" w:hAnsi="Roboto"/>
          <w:b/>
          <w:bCs/>
          <w:color w:val="535B50"/>
          <w:sz w:val="22"/>
          <w:szCs w:val="22"/>
        </w:rPr>
        <w:t xml:space="preserve">xenobiotic_exposure_review</w:t>
      </w:r>
    </w:p>
    <w:p>
      <w:pPr>
        <w:spacing w:after="60"/>
      </w:pPr>
      <w:r>
        <w:rPr>
          <w:rFonts w:ascii="Roboto" w:cs="Roboto" w:eastAsia="Roboto" w:hAnsi="Roboto"/>
          <w:b/>
          <w:bCs/>
          <w:color w:val="535B50"/>
          <w:sz w:val="20"/>
          <w:szCs w:val="20"/>
        </w:rPr>
        <w:t xml:space="preserve">Consideration: </w:t>
      </w:r>
      <w:r>
        <w:rPr>
          <w:rFonts w:ascii="Roboto" w:cs="Roboto" w:eastAsia="Roboto" w:hAnsi="Roboto"/>
          <w:color w:val="000000"/>
          <w:sz w:val="20"/>
          <w:szCs w:val="20"/>
        </w:rPr>
        <w:t xml:space="preserve">The practitioner may wish to review with the patient potential sources of benzene (vehicle exhaust, smoking, certain solvents), xylene/toluene (paints, solvents), and paraben/phthalate exposure (cosmetics, personal care) given the OA pattern.</w:t>
      </w:r>
    </w:p>
    <w:p>
      <w:pPr>
        <w:spacing w:after="60"/>
      </w:pPr>
      <w:r>
        <w:rPr>
          <w:rFonts w:ascii="Roboto" w:cs="Roboto" w:eastAsia="Roboto" w:hAnsi="Roboto"/>
          <w:b/>
          <w:bCs/>
          <w:color w:val="535B50"/>
          <w:sz w:val="20"/>
          <w:szCs w:val="20"/>
        </w:rPr>
        <w:t xml:space="preserve">Rationale: </w:t>
      </w:r>
      <w:r>
        <w:rPr>
          <w:rFonts w:ascii="Roboto" w:cs="Roboto" w:eastAsia="Roboto" w:hAnsi="Roboto"/>
          <w:color w:val="000000"/>
          <w:sz w:val="20"/>
          <w:szCs w:val="20"/>
        </w:rPr>
        <w:t xml:space="preserve">Elevated t,t-muconic, 3-methylhippuric, 4-HBA per published frameworks.</w:t>
      </w:r>
    </w:p>
    <w:p>
      <w:pPr>
        <w:spacing w:after="60" w:before="120"/>
      </w:pPr>
      <w:r>
        <w:rPr>
          <w:rFonts w:ascii="Roboto" w:cs="Roboto" w:eastAsia="Roboto" w:hAnsi="Roboto"/>
          <w:b/>
          <w:bCs/>
          <w:color w:val="535B50"/>
          <w:sz w:val="22"/>
          <w:szCs w:val="22"/>
        </w:rPr>
        <w:t xml:space="preserve">dietary_review_processed_heated_foods</w:t>
      </w:r>
    </w:p>
    <w:p>
      <w:pPr>
        <w:spacing w:after="60"/>
      </w:pPr>
      <w:r>
        <w:rPr>
          <w:rFonts w:ascii="Roboto" w:cs="Roboto" w:eastAsia="Roboto" w:hAnsi="Roboto"/>
          <w:b/>
          <w:bCs/>
          <w:color w:val="535B50"/>
          <w:sz w:val="20"/>
          <w:szCs w:val="20"/>
        </w:rPr>
        <w:t xml:space="preserve">Consideration: </w:t>
      </w:r>
      <w:r>
        <w:rPr>
          <w:rFonts w:ascii="Roboto" w:cs="Roboto" w:eastAsia="Roboto" w:hAnsi="Roboto"/>
          <w:color w:val="000000"/>
          <w:sz w:val="20"/>
          <w:szCs w:val="20"/>
        </w:rPr>
        <w:t xml:space="preserve">Practitioner may wish to discuss reducing exposure to highly browned, caramelised or processed foods given elevated 5-hydroxymethyl-2-furoic acid.</w:t>
      </w:r>
    </w:p>
    <w:p>
      <w:pPr>
        <w:spacing w:after="60"/>
      </w:pPr>
      <w:r>
        <w:rPr>
          <w:rFonts w:ascii="Roboto" w:cs="Roboto" w:eastAsia="Roboto" w:hAnsi="Roboto"/>
          <w:b/>
          <w:bCs/>
          <w:color w:val="535B50"/>
          <w:sz w:val="20"/>
          <w:szCs w:val="20"/>
        </w:rPr>
        <w:t xml:space="preserve">Rationale: </w:t>
      </w:r>
      <w:r>
        <w:rPr>
          <w:rFonts w:ascii="Roboto" w:cs="Roboto" w:eastAsia="Roboto" w:hAnsi="Roboto"/>
          <w:color w:val="000000"/>
          <w:sz w:val="20"/>
          <w:szCs w:val="20"/>
        </w:rPr>
        <w:t xml:space="preserve">Per published OA interpretation frameworks.</w:t>
      </w:r>
    </w:p>
    <w:p>
      <w:pPr>
        <w:spacing w:after="60" w:before="120"/>
      </w:pPr>
      <w:r>
        <w:rPr>
          <w:rFonts w:ascii="Roboto" w:cs="Roboto" w:eastAsia="Roboto" w:hAnsi="Roboto"/>
          <w:b/>
          <w:bCs/>
          <w:color w:val="535B50"/>
          <w:sz w:val="22"/>
          <w:szCs w:val="22"/>
        </w:rPr>
        <w:t xml:space="preserve">antioxidant_dense_diet</w:t>
      </w:r>
    </w:p>
    <w:p>
      <w:pPr>
        <w:spacing w:after="60"/>
      </w:pPr>
      <w:r>
        <w:rPr>
          <w:rFonts w:ascii="Roboto" w:cs="Roboto" w:eastAsia="Roboto" w:hAnsi="Roboto"/>
          <w:b/>
          <w:bCs/>
          <w:color w:val="535B50"/>
          <w:sz w:val="20"/>
          <w:szCs w:val="20"/>
        </w:rPr>
        <w:t xml:space="preserve">Consideration: </w:t>
      </w:r>
      <w:r>
        <w:rPr>
          <w:rFonts w:ascii="Roboto" w:cs="Roboto" w:eastAsia="Roboto" w:hAnsi="Roboto"/>
          <w:color w:val="000000"/>
          <w:sz w:val="20"/>
          <w:szCs w:val="20"/>
        </w:rPr>
        <w:t xml:space="preserve">Practitioner may wish to discuss a diet rich in cruciferous vegetables, berries, green tea, and sulphur-rich foods (Allium spp.) to support endogenous antioxidant and Phase II detoxification capacity.</w:t>
      </w:r>
    </w:p>
    <w:p>
      <w:pPr>
        <w:spacing w:after="60"/>
      </w:pPr>
      <w:r>
        <w:rPr>
          <w:rFonts w:ascii="Roboto" w:cs="Roboto" w:eastAsia="Roboto" w:hAnsi="Roboto"/>
          <w:b/>
          <w:bCs/>
          <w:color w:val="535B50"/>
          <w:sz w:val="20"/>
          <w:szCs w:val="20"/>
        </w:rPr>
        <w:t xml:space="preserve">Rationale: </w:t>
      </w:r>
      <w:r>
        <w:rPr>
          <w:rFonts w:ascii="Roboto" w:cs="Roboto" w:eastAsia="Roboto" w:hAnsi="Roboto"/>
          <w:color w:val="000000"/>
          <w:sz w:val="20"/>
          <w:szCs w:val="20"/>
        </w:rPr>
        <w:t xml:space="preserve">Elevated 8-OHdG and xenobiotic markers.</w:t>
      </w:r>
    </w:p>
    <w:p>
      <w:pPr>
        <w:spacing w:after="60" w:before="120"/>
      </w:pPr>
      <w:r>
        <w:rPr>
          <w:rFonts w:ascii="Roboto" w:cs="Roboto" w:eastAsia="Roboto" w:hAnsi="Roboto"/>
          <w:b/>
          <w:bCs/>
          <w:color w:val="535B50"/>
          <w:sz w:val="22"/>
          <w:szCs w:val="22"/>
        </w:rPr>
        <w:t xml:space="preserve">hydration_and_kidney_clearance</w:t>
      </w:r>
    </w:p>
    <w:p>
      <w:pPr>
        <w:spacing w:after="60"/>
      </w:pPr>
      <w:r>
        <w:rPr>
          <w:rFonts w:ascii="Roboto" w:cs="Roboto" w:eastAsia="Roboto" w:hAnsi="Roboto"/>
          <w:b/>
          <w:bCs/>
          <w:color w:val="535B50"/>
          <w:sz w:val="20"/>
          <w:szCs w:val="20"/>
        </w:rPr>
        <w:t xml:space="preserve">Consideration: </w:t>
      </w:r>
      <w:r>
        <w:rPr>
          <w:rFonts w:ascii="Roboto" w:cs="Roboto" w:eastAsia="Roboto" w:hAnsi="Roboto"/>
          <w:color w:val="000000"/>
          <w:sz w:val="20"/>
          <w:szCs w:val="20"/>
        </w:rPr>
        <w:t xml:space="preserve">Adequate hydration supports renal clearance of conjugated xenobiotics — practitioner discretion.</w:t>
      </w:r>
    </w:p>
    <w:p>
      <w:pPr>
        <w:spacing w:after="60"/>
      </w:pPr>
      <w:r>
        <w:rPr>
          <w:rFonts w:ascii="Roboto" w:cs="Roboto" w:eastAsia="Roboto" w:hAnsi="Roboto"/>
          <w:b/>
          <w:bCs/>
          <w:color w:val="535B50"/>
          <w:sz w:val="20"/>
          <w:szCs w:val="20"/>
        </w:rPr>
        <w:t xml:space="preserve">Rationale: </w:t>
      </w:r>
      <w:r>
        <w:rPr>
          <w:rFonts w:ascii="Roboto" w:cs="Roboto" w:eastAsia="Roboto" w:hAnsi="Roboto"/>
          <w:color w:val="000000"/>
          <w:sz w:val="20"/>
          <w:szCs w:val="20"/>
        </w:rPr>
        <w:t xml:space="preserve">Supports Phase II conjugate elimination.</w:t>
      </w:r>
    </w:p>
    <w:p>
      <w:pPr>
        <w:pBdr>
          <w:bottom w:val="single" w:color="C3AF88" w:sz="6" w:space="4"/>
        </w:pBdr>
        <w:spacing w:after="180" w:before="360"/>
      </w:pPr>
      <w:r>
        <w:rPr>
          <w:rFonts w:ascii="Roboto" w:cs="Roboto" w:eastAsia="Roboto" w:hAnsi="Roboto"/>
          <w:b/>
          <w:bCs/>
          <w:color w:val="535B50"/>
          <w:sz w:val="28"/>
          <w:szCs w:val="28"/>
        </w:rPr>
        <w:t xml:space="preserve">Section 4 — Recommended Formulation Logic</w:t>
      </w:r>
    </w:p>
    <w:p>
      <w:pPr>
        <w:spacing w:after="180" w:before="240"/>
      </w:pPr>
      <w:r>
        <w:rPr>
          <w:rFonts w:ascii="Roboto" w:cs="Roboto" w:eastAsia="Roboto" w:hAnsi="Roboto"/>
          <w:b/>
          <w:bCs/>
          <w:color w:val="535B50"/>
          <w:sz w:val="24"/>
          <w:szCs w:val="24"/>
        </w:rPr>
        <w:t xml:space="preserve">Overall strategy</w:t>
      </w:r>
    </w:p>
    <w:p>
      <w:pPr>
        <w:spacing w:after="120"/>
      </w:pPr>
      <w:r>
        <w:rPr>
          <w:rFonts w:ascii="Roboto" w:cs="Roboto" w:eastAsia="Roboto" w:hAnsi="Roboto"/>
          <w:b w:val="false"/>
          <w:bCs w:val="false"/>
          <w:color w:val="000000"/>
          <w:sz w:val="22"/>
          <w:szCs w:val="22"/>
        </w:rPr>
        <w:t xml:space="preserve">Six therapeutic axes are activated. Axis allocation (planned, ~700 granule target): antioxidant/redox + heavy/xenobiotic-detox combined ~210g (anchored on NAC + milk thistle + Cal D-glucarate + vitamin C + resveratrol); mitochondrial/cardiovascular ~120g (CoQ10 + alpha-lipoic acid); anti-inflammatory core ~150g (turmeric + boswellia + quercetin); B-vitamins/methylation ~80g (methyl-B12 + calcium folinate + P5P + B2); vitamin D/C bridge ~30g; minerals (magnesium glycinate) ~60g; with the granule budget concentrated on conjugation + redox given the xenobiotic-burdened pattern is the dominant signal. Step-3 foundational pass: NAC, milk thistle, CoQ10, turmeric, methylcobalamin, P5P, magnesium glycinate, Cal D-glucarate. Step 4 layered: vitamin C, ascorbic-supportive resveratrol, alpha-lipoic acid, quercetin, boswellia, B2, calcium folinate, vitamin D3. Step 5: last ingredient back-out applied to keep total ≤700.</w:t>
      </w:r>
    </w:p>
    <w:p>
      <w:pPr>
        <w:spacing w:after="180" w:before="240"/>
      </w:pPr>
      <w:r>
        <w:rPr>
          <w:rFonts w:ascii="Roboto" w:cs="Roboto" w:eastAsia="Roboto" w:hAnsi="Roboto"/>
          <w:b/>
          <w:bCs/>
          <w:color w:val="535B50"/>
          <w:sz w:val="24"/>
          <w:szCs w:val="24"/>
        </w:rPr>
        <w:t xml:space="preserve">What was intentionally included, and why</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NAC — anchors antioxidant axis + glutathione precursor for xenobiotic conjugation (8-OHdG, t,t-muconic, pyroglutamic).</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Milk thistle (silymarin) — Phase II Nrf2 upregulation + hepatoprotection for xenobiotic burden.</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Calcium D-glucarate — glucuronidation support for paraben/phthalate/xenobiotic conjugation.</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Vitamin C (ascorbic acid) — antioxidant load aligned with 8-OHdG elevation.</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Resveratrol — Nrf2/sirtuin antioxidant adjunct.</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Turmeric (curcumin) — NF-κB anchor for inflammatory/leukotriene activity.</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Boswellia — 5-LOX coverage given LTE4 elevation.</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Quercetin — mast-cell stabilising/anti-inflammatory complement to LTE4 elevation.</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CoQ10 — mitochondrial electron transport + mevalonate pathway support.</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Alpha-lipoic acid — TCA dehydrogenase cofactor and antioxidant/heavy-metal buffering.</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Methylcobalamin — methylation cycle support given guanidinoacetic, KMBA, 5-methylcytosine elevation.</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Calcium folinate — folate cycle cofactor for one-carbon support.</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Pyridoxal-5-phosphate (P5P) — anchors kynurenine pathway support given xanthurenic elevation.</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Riboflavin (B2) — FAD cofactor for kynurenine monooxygenase and mitochondrial flavoproteins.</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Magnesium glycinate — broad mitochondrial/methylation cofactor; glycine moiety contributes incidentally to conjugation pathway support.</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Vitamin D3 — included at conservative dose for general repletion alongside other foundational nutrients.</w:t>
      </w:r>
    </w:p>
    <w:p>
      <w:pPr>
        <w:spacing w:after="180" w:before="240"/>
      </w:pPr>
      <w:r>
        <w:rPr>
          <w:rFonts w:ascii="Roboto" w:cs="Roboto" w:eastAsia="Roboto" w:hAnsi="Roboto"/>
          <w:b/>
          <w:bCs/>
          <w:color w:val="535B50"/>
          <w:sz w:val="24"/>
          <w:szCs w:val="24"/>
        </w:rPr>
        <w:t xml:space="preserve">What was intentionally excluded, and why</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Iron (W040001000) — No indication of iron deficiency on the OA panel; standard contraindication consideration in adult female without ferritin data — not added.</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Iodine (W030014000) — Panel does not indicate thyroid axis driver; not prioritised within the granule budget.</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5-HTP (W130002000) — Serotonin metabolite (5-HIAA) within range; without medication context to rule out serotonergic interactions, deprioritised — surfaced for practitioner review only.</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Selenium — Red-cell selenium not measured; conservative omission within budget constraints.</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Copper — Cu:Zn data not provided; binding-exclusion safety floor applied (omit copper when status unknown alongside redox stress).</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L-Carnitine — Not present in supplied Library; surfaced as standalone given adipic acid elevation.</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Glycine — Not present in supplied Library; surfaced as standalone given prominent benzoate/xylene conjugation findings.</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EPA/DHA omega-3 — Not present in supplied granule Library; surfaced as standalone given LTE4 elevation.</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Specific probiotic strains — Not in supplied Library as granule products; surfaced as standalone given modest dysbiosis markers.</w:t>
      </w:r>
    </w:p>
    <w:p>
      <w:pPr>
        <w:spacing w:after="240"/>
      </w:pPr>
      <w:r>
        <w:rPr>
          <w:rFonts w:ascii="Roboto" w:cs="Roboto" w:eastAsia="Roboto" w:hAnsi="Roboto"/>
          <w:b w:val="false"/>
          <w:bCs w:val="false"/>
          <w:color w:val="000000"/>
          <w:sz w:val="22"/>
          <w:szCs w:val="22"/>
        </w:rPr>
        <w:t xml:space="preserve">The detailed ingredient-by-ingredient formulation, including doses, granule counts, and per-ingredient rationale, is in the companion Recommended Formulation Schedule (.xlsx).</w:t>
      </w:r>
    </w:p>
    <w:p>
      <w:pPr>
        <w:pBdr>
          <w:bottom w:val="single" w:color="C3AF88" w:sz="6" w:space="4"/>
        </w:pBdr>
        <w:spacing w:after="180" w:before="360"/>
      </w:pPr>
      <w:r>
        <w:rPr>
          <w:rFonts w:ascii="Roboto" w:cs="Roboto" w:eastAsia="Roboto" w:hAnsi="Roboto"/>
          <w:b/>
          <w:bCs/>
          <w:color w:val="535B50"/>
          <w:sz w:val="28"/>
          <w:szCs w:val="28"/>
        </w:rPr>
        <w:t xml:space="preserve">Section 5 — Contraindication and Interaction Considerations</w:t>
      </w:r>
    </w:p>
    <w:p>
      <w:pPr>
        <w:spacing w:after="180" w:before="240"/>
      </w:pPr>
      <w:r>
        <w:rPr>
          <w:rFonts w:ascii="Roboto" w:cs="Roboto" w:eastAsia="Roboto" w:hAnsi="Roboto"/>
          <w:b/>
          <w:bCs/>
          <w:color w:val="535B50"/>
          <w:sz w:val="24"/>
          <w:szCs w:val="24"/>
        </w:rPr>
        <w:t xml:space="preserve">Contraindication flags</w:t>
      </w:r>
    </w:p>
    <w:p>
      <w:pPr>
        <w:spacing w:after="120"/>
      </w:pPr>
      <w:r>
        <w:rPr>
          <w:rFonts w:ascii="Roboto" w:cs="Roboto" w:eastAsia="Roboto" w:hAnsi="Roboto"/>
          <w:b w:val="false"/>
          <w:bCs w:val="false"/>
          <w:color w:val="000000"/>
          <w:sz w:val="22"/>
          <w:szCs w:val="22"/>
        </w:rPr>
        <w:t xml:space="preserve">6 contraindication or interaction consideration(s) raised for practitioner review.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3"/>
        <w:gridCol w:w="1985"/>
        <w:gridCol w:w="4151"/>
        <w:gridCol w:w="1624"/>
      </w:tblGrid>
      <w:tr>
        <w:trPr>
          <w:tblHeader/>
        </w:trPr>
        <w:tc>
          <w:tcPr>
            <w:tcW w:type="dxa" w:w="1263"/>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Severity</w:t>
            </w:r>
          </w:p>
        </w:tc>
        <w:tc>
          <w:tcPr>
            <w:tcW w:type="dxa" w:w="1985"/>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Flag</w:t>
            </w:r>
          </w:p>
        </w:tc>
        <w:tc>
          <w:tcPr>
            <w:tcW w:type="dxa" w:w="4151"/>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Description</w:t>
            </w:r>
          </w:p>
        </w:tc>
        <w:tc>
          <w:tcPr>
            <w:tcW w:type="dxa" w:w="1624"/>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Affected Ingredient(s)</w:t>
            </w:r>
          </w:p>
        </w:tc>
      </w:tr>
      <w:tr>
        <w:tc>
          <w:tcPr>
            <w:tcW w:type="dxa" w:w="1263"/>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bCs/>
                <w:color w:val="666666"/>
                <w:sz w:val="20"/>
                <w:szCs w:val="20"/>
              </w:rPr>
              <w:t xml:space="preserve">informational</w:t>
            </w:r>
          </w:p>
        </w:tc>
        <w:tc>
          <w:tcPr>
            <w:tcW w:type="dxa" w:w="1985"/>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no_medication_list_provided</w:t>
            </w:r>
          </w:p>
        </w:tc>
        <w:tc>
          <w:tcPr>
            <w:tcW w:type="dxa" w:w="4151"/>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Clinical notes did not list current medications. Standard contraindication screens (5-HTP with serotonergics; berberine with glucose-lowering agents; curcumin/resveratrol with anticoagulants; magnesium with antibiotics/bisphosphonates; St John's Wort with multiple meds) were therefore applied to the formulation in the abstract. 5-HTP and berberine were not included in this formulation. Curcumin, resveratrol and magnesium have been included — practitioner to verify against the patient's full medication list.</w:t>
            </w:r>
          </w:p>
        </w:tc>
        <w:tc>
          <w:tcPr>
            <w:tcW w:type="dxa" w:w="1624"/>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w:t>
            </w:r>
          </w:p>
        </w:tc>
      </w:tr>
      <w:tr>
        <w:tc>
          <w:tcPr>
            <w:tcW w:type="dxa" w:w="1263"/>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bCs/>
                <w:color w:val="666666"/>
                <w:sz w:val="20"/>
                <w:szCs w:val="20"/>
              </w:rPr>
              <w:t xml:space="preserve">not_applicable</w:t>
            </w:r>
          </w:p>
        </w:tc>
        <w:tc>
          <w:tcPr>
            <w:tcW w:type="dxa" w:w="1985"/>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iodine_thyroid_antibody_status_not_provided</w:t>
            </w:r>
          </w:p>
        </w:tc>
        <w:tc>
          <w:tcPr>
            <w:tcW w:type="dxa" w:w="4151"/>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Iodine was not included in this formulation; antibody status not relevant for this submission.</w:t>
            </w:r>
          </w:p>
        </w:tc>
        <w:tc>
          <w:tcPr>
            <w:tcW w:type="dxa" w:w="1624"/>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w:t>
            </w:r>
          </w:p>
        </w:tc>
      </w:tr>
      <w:tr>
        <w:tc>
          <w:tcPr>
            <w:tcW w:type="dxa" w:w="1263"/>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bCs/>
                <w:color w:val="666666"/>
                <w:sz w:val="20"/>
                <w:szCs w:val="20"/>
              </w:rPr>
              <w:t xml:space="preserve">applied</w:t>
            </w:r>
          </w:p>
        </w:tc>
        <w:tc>
          <w:tcPr>
            <w:tcW w:type="dxa" w:w="1985"/>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selenium_red_cell_status_not_provided</w:t>
            </w:r>
          </w:p>
        </w:tc>
        <w:tc>
          <w:tcPr>
            <w:tcW w:type="dxa" w:w="4151"/>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Selenium omitted in the absence of red-cell selenium data — system safety floor.</w:t>
            </w:r>
          </w:p>
        </w:tc>
        <w:tc>
          <w:tcPr>
            <w:tcW w:type="dxa" w:w="1624"/>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Selenium
(Selenomethionine)</w:t>
            </w:r>
          </w:p>
        </w:tc>
      </w:tr>
      <w:tr>
        <w:tc>
          <w:tcPr>
            <w:tcW w:type="dxa" w:w="1263"/>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bCs/>
                <w:color w:val="666666"/>
                <w:sz w:val="20"/>
                <w:szCs w:val="20"/>
              </w:rPr>
              <w:t xml:space="preserve">applied</w:t>
            </w:r>
          </w:p>
        </w:tc>
        <w:tc>
          <w:tcPr>
            <w:tcW w:type="dxa" w:w="1985"/>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copper_status_not_provided</w:t>
            </w:r>
          </w:p>
        </w:tc>
        <w:tc>
          <w:tcPr>
            <w:tcW w:type="dxa" w:w="4151"/>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Copper omitted in the absence of Cu:Zn status data — system safety floor.</w:t>
            </w:r>
          </w:p>
        </w:tc>
        <w:tc>
          <w:tcPr>
            <w:tcW w:type="dxa" w:w="1624"/>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Copper gluconate</w:t>
            </w:r>
          </w:p>
        </w:tc>
      </w:tr>
      <w:tr>
        <w:tc>
          <w:tcPr>
            <w:tcW w:type="dxa" w:w="1263"/>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bCs/>
                <w:color w:val="666666"/>
                <w:sz w:val="20"/>
                <w:szCs w:val="20"/>
              </w:rPr>
              <w:t xml:space="preserve">applied</w:t>
            </w:r>
          </w:p>
        </w:tc>
        <w:tc>
          <w:tcPr>
            <w:tcW w:type="dxa" w:w="1985"/>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iron_studies_not_provided</w:t>
            </w:r>
          </w:p>
        </w:tc>
        <w:tc>
          <w:tcPr>
            <w:tcW w:type="dxa" w:w="4151"/>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Iron omitted — no panel signal of deficiency and no iron studies supplied.</w:t>
            </w:r>
          </w:p>
        </w:tc>
        <w:tc>
          <w:tcPr>
            <w:tcW w:type="dxa" w:w="1624"/>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Iron bisglycinate</w:t>
            </w:r>
          </w:p>
        </w:tc>
      </w:tr>
      <w:tr>
        <w:tc>
          <w:tcPr>
            <w:tcW w:type="dxa" w:w="1263"/>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bCs/>
                <w:color w:val="666666"/>
                <w:sz w:val="20"/>
                <w:szCs w:val="20"/>
              </w:rPr>
              <w:t xml:space="preserve">informational</w:t>
            </w:r>
          </w:p>
        </w:tc>
        <w:tc>
          <w:tcPr>
            <w:tcW w:type="dxa" w:w="1985"/>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age_over_50_female</w:t>
            </w:r>
          </w:p>
        </w:tc>
        <w:tc>
          <w:tcPr>
            <w:tcW w:type="dxa" w:w="4151"/>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Patient age 56 — within standard adult dosing; no soft escalation triggered (under 75).</w:t>
            </w:r>
          </w:p>
        </w:tc>
        <w:tc>
          <w:tcPr>
            <w:tcW w:type="dxa" w:w="1624"/>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w:t>
            </w:r>
          </w:p>
        </w:tc>
      </w:tr>
    </w:tbl>
    <w:p>
      <w:pPr>
        <w:spacing w:after="180" w:before="240"/>
      </w:pPr>
      <w:r>
        <w:rPr>
          <w:rFonts w:ascii="Roboto" w:cs="Roboto" w:eastAsia="Roboto" w:hAnsi="Roboto"/>
          <w:b/>
          <w:bCs/>
          <w:color w:val="535B50"/>
          <w:sz w:val="24"/>
          <w:szCs w:val="24"/>
        </w:rPr>
        <w:t xml:space="preserve">Binding exclusions applied</w:t>
      </w:r>
    </w:p>
    <w:p>
      <w:pPr>
        <w:spacing w:after="120"/>
      </w:pPr>
      <w:r>
        <w:rPr>
          <w:rFonts w:ascii="Roboto" w:cs="Roboto" w:eastAsia="Roboto" w:hAnsi="Roboto"/>
          <w:b w:val="false"/>
          <w:bCs w:val="false"/>
          <w:color w:val="000000"/>
          <w:sz w:val="22"/>
          <w:szCs w:val="22"/>
        </w:rPr>
        <w:t xml:space="preserve">3 binding exclusion(s) applied. These are ingredients held out of the pod because the panel does not measure the data needed to confirm safety, or the panel data crossed a hard exclusion threshold.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3429"/>
        <w:gridCol w:w="3610"/>
      </w:tblGrid>
      <w:tr>
        <w:trPr>
          <w:tblHeader/>
        </w:trPr>
        <w:tc>
          <w:tcPr>
            <w:tcW w:type="dxa" w:w="1985"/>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Ingredient</w:t>
            </w:r>
          </w:p>
        </w:tc>
        <w:tc>
          <w:tcPr>
            <w:tcW w:type="dxa" w:w="3429"/>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Trigger</w:t>
            </w:r>
          </w:p>
        </w:tc>
        <w:tc>
          <w:tcPr>
            <w:tcW w:type="dxa" w:w="361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Practitioner Note</w:t>
            </w:r>
          </w:p>
        </w:tc>
      </w:tr>
      <w:tr>
        <w:tc>
          <w:tcPr>
            <w:tcW w:type="dxa" w:w="1985"/>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bCs/>
                <w:color w:val="000000"/>
                <w:sz w:val="20"/>
                <w:szCs w:val="20"/>
              </w:rPr>
              <w:t xml:space="preserve">—</w:t>
            </w:r>
          </w:p>
        </w:tc>
        <w:tc>
          <w:tcPr>
            <w:tcW w:type="dxa" w:w="3429"/>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w:t>
            </w:r>
          </w:p>
        </w:tc>
        <w:tc>
          <w:tcPr>
            <w:tcW w:type="dxa" w:w="361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Copper has been excluded as a precaution because copper status biomarkers were not supplied and the panel shows oxidative stress; per system safety floor, copper is not added without status data. Practitioner discretion if separately assessed.</w:t>
            </w:r>
          </w:p>
        </w:tc>
      </w:tr>
      <w:tr>
        <w:tc>
          <w:tcPr>
            <w:tcW w:type="dxa" w:w="1985"/>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bCs/>
                <w:color w:val="000000"/>
                <w:sz w:val="20"/>
                <w:szCs w:val="20"/>
              </w:rPr>
              <w:t xml:space="preserve">—</w:t>
            </w:r>
          </w:p>
        </w:tc>
        <w:tc>
          <w:tcPr>
            <w:tcW w:type="dxa" w:w="3429"/>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w:t>
            </w:r>
          </w:p>
        </w:tc>
        <w:tc>
          <w:tcPr>
            <w:tcW w:type="dxa" w:w="361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Selenium has been omitted in the absence of status data. The practitioner may wish to consider conservative dosing if separately assessed.</w:t>
            </w:r>
          </w:p>
        </w:tc>
      </w:tr>
      <w:tr>
        <w:tc>
          <w:tcPr>
            <w:tcW w:type="dxa" w:w="1985"/>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bCs/>
                <w:color w:val="000000"/>
                <w:sz w:val="20"/>
                <w:szCs w:val="20"/>
              </w:rPr>
              <w:t xml:space="preserve">—</w:t>
            </w:r>
          </w:p>
        </w:tc>
        <w:tc>
          <w:tcPr>
            <w:tcW w:type="dxa" w:w="3429"/>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w:t>
            </w:r>
          </w:p>
        </w:tc>
        <w:tc>
          <w:tcPr>
            <w:tcW w:type="dxa" w:w="361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Iron not included without iron status data.</w:t>
            </w:r>
          </w:p>
        </w:tc>
      </w:tr>
    </w:tbl>
    <w:p>
      <w:pPr>
        <w:pBdr>
          <w:bottom w:val="single" w:color="C3AF88" w:sz="6" w:space="4"/>
        </w:pBdr>
        <w:spacing w:after="180" w:before="360"/>
      </w:pPr>
      <w:r>
        <w:rPr>
          <w:rFonts w:ascii="Roboto" w:cs="Roboto" w:eastAsia="Roboto" w:hAnsi="Roboto"/>
          <w:b/>
          <w:bCs/>
          <w:color w:val="535B50"/>
          <w:sz w:val="28"/>
          <w:szCs w:val="28"/>
        </w:rPr>
        <w:t xml:space="preserve">Section 6 — Monitoring and Follow-Up Considerations</w:t>
      </w:r>
    </w:p>
    <w:p>
      <w:pPr>
        <w:spacing w:after="120"/>
      </w:pPr>
      <w:r>
        <w:rPr>
          <w:rFonts w:ascii="Roboto" w:cs="Roboto" w:eastAsia="Roboto" w:hAnsi="Roboto"/>
          <w:b w:val="false"/>
          <w:bCs w:val="false"/>
          <w:color w:val="000000"/>
          <w:sz w:val="22"/>
          <w:szCs w:val="22"/>
        </w:rPr>
        <w:t xml:space="preserve">The practitioner may wish to consider re-testing key markers at a clinically appropriate interval to assess response, particularly the xenobiotic exposure markers (t,t-muconic, methylhippuric isomers, 4-HBA), the oxidative stress marker (8-OHdG), TCA flux markers (isocitric, 2-OG), kynurenine pathway (xanthurenic, quinolinic), and methylation markers (guanidinoacetic, 5-methylcytosine).</w:t>
      </w:r>
    </w:p>
    <w:p>
      <w:pPr>
        <w:spacing w:after="180" w:before="240"/>
      </w:pPr>
      <w:r>
        <w:rPr>
          <w:rFonts w:ascii="Roboto" w:cs="Roboto" w:eastAsia="Roboto" w:hAnsi="Roboto"/>
          <w:b/>
          <w:bCs/>
          <w:color w:val="535B50"/>
          <w:sz w:val="24"/>
          <w:szCs w:val="24"/>
        </w:rPr>
        <w:t xml:space="preserve">Markers for practitioner consideration at follow-up</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8-hydroxy-deoxyguanosine</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Leukotriene E4</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t,t-Muconic Acid</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3-Methylhippuric Acid</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4-Hydroxybenzoic Acid</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Isocitric Acid and 2-Oxoglutaric Acid</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Quinolinic / Xanthurenic / Kynurenic</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Guanidinoacetic Acid</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5-Methylcytosine</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Pyroglutamic Acid</w:t>
      </w:r>
    </w:p>
    <w:p>
      <w:pPr>
        <w:spacing w:after="120" w:before="240"/>
      </w:pPr>
      <w:r>
        <w:rPr>
          <w:rFonts w:ascii="Roboto" w:cs="Roboto" w:eastAsia="Roboto" w:hAnsi="Roboto"/>
          <w:i/>
          <w:iCs/>
          <w:color w:val="666666"/>
          <w:sz w:val="20"/>
          <w:szCs w:val="20"/>
        </w:rPr>
        <w:t xml:space="preserve">Re-testing timing is a clinical decision for the treating practitioner.</w:t>
      </w:r>
    </w:p>
    <w:p>
      <w:pPr>
        <w:pBdr>
          <w:bottom w:val="single" w:color="C3AF88" w:sz="6" w:space="4"/>
        </w:pBdr>
        <w:spacing w:after="180" w:before="360"/>
      </w:pPr>
      <w:r>
        <w:rPr>
          <w:rFonts w:ascii="Roboto" w:cs="Roboto" w:eastAsia="Roboto" w:hAnsi="Roboto"/>
          <w:b/>
          <w:bCs/>
          <w:color w:val="535B50"/>
          <w:sz w:val="28"/>
          <w:szCs w:val="28"/>
        </w:rPr>
        <w:t xml:space="preserve">Section 7 — Areas of Strength</w:t>
      </w:r>
    </w:p>
    <w:p>
      <w:pPr>
        <w:spacing w:after="120"/>
      </w:pPr>
      <w:r>
        <w:rPr>
          <w:rFonts w:ascii="Roboto" w:cs="Roboto" w:eastAsia="Roboto" w:hAnsi="Roboto"/>
          <w:b w:val="false"/>
          <w:bCs w:val="false"/>
          <w:color w:val="000000"/>
          <w:sz w:val="22"/>
          <w:szCs w:val="22"/>
        </w:rPr>
        <w:t xml:space="preserve">The following 7 finding(s) on this panel are within reference and are surfaced as areas of clinical strength to contextualise the abnormal findings above.</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Cortisol (OA) within reference range — HPA axis not flagged for primary intervention.</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Methylmalonic acid and FIGLU within reference range — overt B12/folate deficiency not evident.</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Pyridoxic acid (B6 marker) within range — overt B6 deficiency not evident; xanthurenic indicates functional rather than depletion picture.</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Vitamin C (ascorbic acid) within range.</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Glucaric acid within range.</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Lactic and pyruvic acid within range — gross glycolytic dysfunction not evident.</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Most neurotransmitter metabolites (HVA, VMA, DOPAC, 5-HIAA) within reference range.</w:t>
      </w:r>
    </w:p>
    <w:p>
      <w:pPr>
        <w:pBdr>
          <w:bottom w:val="single" w:color="C3AF88" w:sz="6" w:space="4"/>
        </w:pBdr>
        <w:spacing w:after="180" w:before="360"/>
      </w:pPr>
      <w:r>
        <w:rPr>
          <w:rFonts w:ascii="Roboto" w:cs="Roboto" w:eastAsia="Roboto" w:hAnsi="Roboto"/>
          <w:b/>
          <w:bCs/>
          <w:color w:val="535B50"/>
          <w:sz w:val="28"/>
          <w:szCs w:val="28"/>
        </w:rPr>
        <w:t xml:space="preserve">References</w:t>
      </w:r>
    </w:p>
    <w:p>
      <w:pPr>
        <w:spacing w:after="240"/>
      </w:pPr>
      <w:r>
        <w:rPr>
          <w:rFonts w:ascii="Roboto" w:cs="Roboto" w:eastAsia="Roboto" w:hAnsi="Roboto"/>
          <w:b w:val="false"/>
          <w:bCs w:val="false"/>
          <w:color w:val="000000"/>
          <w:sz w:val="22"/>
          <w:szCs w:val="22"/>
        </w:rPr>
        <w:t xml:space="preserve">Key published studies cited by the clinical decision support system in support of each formulation decision. Citations should be independently verified by the reviewing practitioner before clinical reliance. PMIDs and DOIs can be confirmed via PubMed (pubmed.ncbi.nlm.nih.gov).</w:t>
      </w:r>
    </w:p>
    <w:p>
      <w:pPr>
        <w:spacing w:after="120"/>
      </w:pPr>
      <w:r>
        <w:rPr>
          <w:rFonts w:ascii="Roboto" w:cs="Roboto" w:eastAsia="Roboto" w:hAnsi="Roboto"/>
          <w:b/>
          <w:bCs/>
          <w:color w:val="C3AF88"/>
          <w:sz w:val="22"/>
          <w:szCs w:val="22"/>
        </w:rPr>
        <w:t xml:space="preserve">[1]</w:t>
      </w:r>
      <w:r>
        <w:rPr>
          <w:rFonts w:ascii="Roboto" w:cs="Roboto" w:eastAsia="Roboto" w:hAnsi="Roboto"/>
          <w:color w:val="000000"/>
          <w:sz w:val="22"/>
          <w:szCs w:val="22"/>
        </w:rPr>
        <w:t xml:space="preserve">  Sadowska AM et al. (2007). Antioxidant and anti-inflammatory efficacy of NAC in the treatment of COPD: discordant in vitro and in vivo dose-effects: a review. Pulmonary Pharmacology &amp; Therapeutics.</w:t>
      </w:r>
      <w:r>
        <w:rPr>
          <w:rFonts w:ascii="Roboto" w:cs="Roboto" w:eastAsia="Roboto" w:hAnsi="Roboto"/>
          <w:i/>
          <w:iCs/>
          <w:color w:val="000000"/>
          <w:sz w:val="18"/>
          <w:szCs w:val="18"/>
        </w:rPr>
        <w:t xml:space="preserve">  (N-acetyl cysteine (NAC))</w:t>
      </w:r>
    </w:p>
    <w:p>
      <w:pPr>
        <w:spacing w:after="120"/>
      </w:pPr>
      <w:r>
        <w:rPr>
          <w:rFonts w:ascii="Roboto" w:cs="Roboto" w:eastAsia="Roboto" w:hAnsi="Roboto"/>
          <w:b/>
          <w:bCs/>
          <w:color w:val="C3AF88"/>
          <w:sz w:val="22"/>
          <w:szCs w:val="22"/>
        </w:rPr>
        <w:t xml:space="preserve">[2]</w:t>
      </w:r>
      <w:r>
        <w:rPr>
          <w:rFonts w:ascii="Roboto" w:cs="Roboto" w:eastAsia="Roboto" w:hAnsi="Roboto"/>
          <w:color w:val="000000"/>
          <w:sz w:val="22"/>
          <w:szCs w:val="22"/>
        </w:rPr>
        <w:t xml:space="preserve">  Abenavoli L et al. (2018). Milk thistle (Silybum marianum): A concise overview on its chemistry, pharmacological, and nutraceutical uses in liver diseases. Phytotherapy Research.</w:t>
      </w:r>
      <w:r>
        <w:rPr>
          <w:rFonts w:ascii="Roboto" w:cs="Roboto" w:eastAsia="Roboto" w:hAnsi="Roboto"/>
          <w:i/>
          <w:iCs/>
          <w:color w:val="000000"/>
          <w:sz w:val="18"/>
          <w:szCs w:val="18"/>
        </w:rPr>
        <w:t xml:space="preserve">  (Milk thistle (silymarin))</w:t>
      </w:r>
    </w:p>
    <w:p>
      <w:pPr>
        <w:spacing w:after="120"/>
      </w:pPr>
      <w:r>
        <w:rPr>
          <w:rFonts w:ascii="Roboto" w:cs="Roboto" w:eastAsia="Roboto" w:hAnsi="Roboto"/>
          <w:b/>
          <w:bCs/>
          <w:color w:val="C3AF88"/>
          <w:sz w:val="22"/>
          <w:szCs w:val="22"/>
        </w:rPr>
        <w:t xml:space="preserve">[3]</w:t>
      </w:r>
      <w:r>
        <w:rPr>
          <w:rFonts w:ascii="Roboto" w:cs="Roboto" w:eastAsia="Roboto" w:hAnsi="Roboto"/>
          <w:color w:val="000000"/>
          <w:sz w:val="22"/>
          <w:szCs w:val="22"/>
        </w:rPr>
        <w:t xml:space="preserve">  Walaszek Z et al. (1996). Metabolism, uptake, and excretion of a D-glucaric acid salt and its potential use in cancer prevention. Cancer Detection and Prevention.</w:t>
      </w:r>
      <w:r>
        <w:rPr>
          <w:rFonts w:ascii="Roboto" w:cs="Roboto" w:eastAsia="Roboto" w:hAnsi="Roboto"/>
          <w:i/>
          <w:iCs/>
          <w:color w:val="000000"/>
          <w:sz w:val="18"/>
          <w:szCs w:val="18"/>
        </w:rPr>
        <w:t xml:space="preserve">  (Calcium D-glucarate)</w:t>
      </w:r>
    </w:p>
    <w:p>
      <w:pPr>
        <w:spacing w:after="120"/>
      </w:pPr>
      <w:r>
        <w:rPr>
          <w:rFonts w:ascii="Roboto" w:cs="Roboto" w:eastAsia="Roboto" w:hAnsi="Roboto"/>
          <w:b/>
          <w:bCs/>
          <w:color w:val="C3AF88"/>
          <w:sz w:val="22"/>
          <w:szCs w:val="22"/>
        </w:rPr>
        <w:t xml:space="preserve">[4]</w:t>
      </w:r>
      <w:r>
        <w:rPr>
          <w:rFonts w:ascii="Roboto" w:cs="Roboto" w:eastAsia="Roboto" w:hAnsi="Roboto"/>
          <w:color w:val="000000"/>
          <w:sz w:val="22"/>
          <w:szCs w:val="22"/>
        </w:rPr>
        <w:t xml:space="preserve">  Carr AC and Maggini S (2017). Vitamin C and immune function. Nutrients.</w:t>
      </w:r>
      <w:r>
        <w:rPr>
          <w:rFonts w:ascii="Roboto" w:cs="Roboto" w:eastAsia="Roboto" w:hAnsi="Roboto"/>
          <w:i/>
          <w:iCs/>
          <w:color w:val="000000"/>
          <w:sz w:val="18"/>
          <w:szCs w:val="18"/>
        </w:rPr>
        <w:t xml:space="preserve">  (Vitamin C (ascorbic acid))</w:t>
      </w:r>
    </w:p>
    <w:p>
      <w:pPr>
        <w:spacing w:after="120"/>
      </w:pPr>
      <w:r>
        <w:rPr>
          <w:rFonts w:ascii="Roboto" w:cs="Roboto" w:eastAsia="Roboto" w:hAnsi="Roboto"/>
          <w:b/>
          <w:bCs/>
          <w:color w:val="C3AF88"/>
          <w:sz w:val="22"/>
          <w:szCs w:val="22"/>
        </w:rPr>
        <w:t xml:space="preserve">[5]</w:t>
      </w:r>
      <w:r>
        <w:rPr>
          <w:rFonts w:ascii="Roboto" w:cs="Roboto" w:eastAsia="Roboto" w:hAnsi="Roboto"/>
          <w:color w:val="000000"/>
          <w:sz w:val="22"/>
          <w:szCs w:val="22"/>
        </w:rPr>
        <w:t xml:space="preserve">  Gu J et al. (2021). Resveratrol-induced autophagy and apoptosis in cancer cells: mechanisms and therapeutic implications. Frontiers in Pharmacology.</w:t>
      </w:r>
      <w:r>
        <w:rPr>
          <w:rFonts w:ascii="Roboto" w:cs="Roboto" w:eastAsia="Roboto" w:hAnsi="Roboto"/>
          <w:i/>
          <w:iCs/>
          <w:color w:val="000000"/>
          <w:sz w:val="18"/>
          <w:szCs w:val="18"/>
        </w:rPr>
        <w:t xml:space="preserve">  (Resveratrol)</w:t>
      </w:r>
    </w:p>
    <w:p>
      <w:pPr>
        <w:spacing w:after="120"/>
      </w:pPr>
      <w:r>
        <w:rPr>
          <w:rFonts w:ascii="Roboto" w:cs="Roboto" w:eastAsia="Roboto" w:hAnsi="Roboto"/>
          <w:b/>
          <w:bCs/>
          <w:color w:val="C3AF88"/>
          <w:sz w:val="22"/>
          <w:szCs w:val="22"/>
        </w:rPr>
        <w:t xml:space="preserve">[6]</w:t>
      </w:r>
      <w:r>
        <w:rPr>
          <w:rFonts w:ascii="Roboto" w:cs="Roboto" w:eastAsia="Roboto" w:hAnsi="Roboto"/>
          <w:color w:val="000000"/>
          <w:sz w:val="22"/>
          <w:szCs w:val="22"/>
        </w:rPr>
        <w:t xml:space="preserve">  Hewlings SJ and Kalman DS (2017). Curcumin: A review of its effects on human health. Foods.</w:t>
      </w:r>
      <w:r>
        <w:rPr>
          <w:rFonts w:ascii="Roboto" w:cs="Roboto" w:eastAsia="Roboto" w:hAnsi="Roboto"/>
          <w:i/>
          <w:iCs/>
          <w:color w:val="000000"/>
          <w:sz w:val="18"/>
          <w:szCs w:val="18"/>
        </w:rPr>
        <w:t xml:space="preserve">  (Turmeric (curcumin))</w:t>
      </w:r>
    </w:p>
    <w:p>
      <w:pPr>
        <w:spacing w:after="120"/>
      </w:pPr>
      <w:r>
        <w:rPr>
          <w:rFonts w:ascii="Roboto" w:cs="Roboto" w:eastAsia="Roboto" w:hAnsi="Roboto"/>
          <w:b/>
          <w:bCs/>
          <w:color w:val="C3AF88"/>
          <w:sz w:val="22"/>
          <w:szCs w:val="22"/>
        </w:rPr>
        <w:t xml:space="preserve">[7]</w:t>
      </w:r>
      <w:r>
        <w:rPr>
          <w:rFonts w:ascii="Roboto" w:cs="Roboto" w:eastAsia="Roboto" w:hAnsi="Roboto"/>
          <w:color w:val="000000"/>
          <w:sz w:val="22"/>
          <w:szCs w:val="22"/>
        </w:rPr>
        <w:t xml:space="preserve">  Siddiqui MZ (2011). Boswellia serrata, a potential antiinflammatory agent: an overview. Indian Journal of Pharmaceutical Sciences.</w:t>
      </w:r>
      <w:r>
        <w:rPr>
          <w:rFonts w:ascii="Roboto" w:cs="Roboto" w:eastAsia="Roboto" w:hAnsi="Roboto"/>
          <w:i/>
          <w:iCs/>
          <w:color w:val="000000"/>
          <w:sz w:val="18"/>
          <w:szCs w:val="18"/>
        </w:rPr>
        <w:t xml:space="preserve">  (Boswellia serrata)</w:t>
      </w:r>
    </w:p>
    <w:p>
      <w:pPr>
        <w:spacing w:after="120"/>
      </w:pPr>
      <w:r>
        <w:rPr>
          <w:rFonts w:ascii="Roboto" w:cs="Roboto" w:eastAsia="Roboto" w:hAnsi="Roboto"/>
          <w:b/>
          <w:bCs/>
          <w:color w:val="C3AF88"/>
          <w:sz w:val="22"/>
          <w:szCs w:val="22"/>
        </w:rPr>
        <w:t xml:space="preserve">[8]</w:t>
      </w:r>
      <w:r>
        <w:rPr>
          <w:rFonts w:ascii="Roboto" w:cs="Roboto" w:eastAsia="Roboto" w:hAnsi="Roboto"/>
          <w:color w:val="000000"/>
          <w:sz w:val="22"/>
          <w:szCs w:val="22"/>
        </w:rPr>
        <w:t xml:space="preserve">  Li Y et al. (2016). Quercetin, inflammation and immunity. Nutrients.</w:t>
      </w:r>
      <w:r>
        <w:rPr>
          <w:rFonts w:ascii="Roboto" w:cs="Roboto" w:eastAsia="Roboto" w:hAnsi="Roboto"/>
          <w:i/>
          <w:iCs/>
          <w:color w:val="000000"/>
          <w:sz w:val="18"/>
          <w:szCs w:val="18"/>
        </w:rPr>
        <w:t xml:space="preserve">  (Quercetin)</w:t>
      </w:r>
    </w:p>
    <w:p>
      <w:pPr>
        <w:spacing w:after="120"/>
      </w:pPr>
      <w:r>
        <w:rPr>
          <w:rFonts w:ascii="Roboto" w:cs="Roboto" w:eastAsia="Roboto" w:hAnsi="Roboto"/>
          <w:b/>
          <w:bCs/>
          <w:color w:val="C3AF88"/>
          <w:sz w:val="22"/>
          <w:szCs w:val="22"/>
        </w:rPr>
        <w:t xml:space="preserve">[9]</w:t>
      </w:r>
      <w:r>
        <w:rPr>
          <w:rFonts w:ascii="Roboto" w:cs="Roboto" w:eastAsia="Roboto" w:hAnsi="Roboto"/>
          <w:color w:val="000000"/>
          <w:sz w:val="22"/>
          <w:szCs w:val="22"/>
        </w:rPr>
        <w:t xml:space="preserve">  Hernández-Camacho JD et al. (2018). Coenzyme Q10 supplementation in aging and disease. Frontiers in Physiology.</w:t>
      </w:r>
      <w:r>
        <w:rPr>
          <w:rFonts w:ascii="Roboto" w:cs="Roboto" w:eastAsia="Roboto" w:hAnsi="Roboto"/>
          <w:i/>
          <w:iCs/>
          <w:color w:val="000000"/>
          <w:sz w:val="18"/>
          <w:szCs w:val="18"/>
        </w:rPr>
        <w:t xml:space="preserve">  (Coenzyme Q10)</w:t>
      </w:r>
    </w:p>
    <w:p>
      <w:pPr>
        <w:spacing w:after="120"/>
      </w:pPr>
      <w:r>
        <w:rPr>
          <w:rFonts w:ascii="Roboto" w:cs="Roboto" w:eastAsia="Roboto" w:hAnsi="Roboto"/>
          <w:b/>
          <w:bCs/>
          <w:color w:val="C3AF88"/>
          <w:sz w:val="22"/>
          <w:szCs w:val="22"/>
        </w:rPr>
        <w:t xml:space="preserve">[10]</w:t>
      </w:r>
      <w:r>
        <w:rPr>
          <w:rFonts w:ascii="Roboto" w:cs="Roboto" w:eastAsia="Roboto" w:hAnsi="Roboto"/>
          <w:color w:val="000000"/>
          <w:sz w:val="22"/>
          <w:szCs w:val="22"/>
        </w:rPr>
        <w:t xml:space="preserve">  Rochette L et al. (2013). Alpha-lipoic acid: molecular mechanisms and therapeutic potential in diabetes. Canadian Journal of Physiology and Pharmacology.</w:t>
      </w:r>
      <w:r>
        <w:rPr>
          <w:rFonts w:ascii="Roboto" w:cs="Roboto" w:eastAsia="Roboto" w:hAnsi="Roboto"/>
          <w:i/>
          <w:iCs/>
          <w:color w:val="000000"/>
          <w:sz w:val="18"/>
          <w:szCs w:val="18"/>
        </w:rPr>
        <w:t xml:space="preserve">  (Alpha-lipoic acid)</w:t>
      </w:r>
    </w:p>
    <w:p>
      <w:pPr>
        <w:spacing w:after="120"/>
      </w:pPr>
      <w:r>
        <w:rPr>
          <w:rFonts w:ascii="Roboto" w:cs="Roboto" w:eastAsia="Roboto" w:hAnsi="Roboto"/>
          <w:b/>
          <w:bCs/>
          <w:color w:val="C3AF88"/>
          <w:sz w:val="22"/>
          <w:szCs w:val="22"/>
        </w:rPr>
        <w:t xml:space="preserve">[11]</w:t>
      </w:r>
      <w:r>
        <w:rPr>
          <w:rFonts w:ascii="Roboto" w:cs="Roboto" w:eastAsia="Roboto" w:hAnsi="Roboto"/>
          <w:color w:val="000000"/>
          <w:sz w:val="22"/>
          <w:szCs w:val="22"/>
        </w:rPr>
        <w:t xml:space="preserve">  Paul C and Brady DM (2017). Comparative bioavailability and utilization of particular forms of B12 supplements with potential to mitigate B12-related genetic polymorphisms. Integrative Medicine.</w:t>
      </w:r>
      <w:r>
        <w:rPr>
          <w:rFonts w:ascii="Roboto" w:cs="Roboto" w:eastAsia="Roboto" w:hAnsi="Roboto"/>
          <w:i/>
          <w:iCs/>
          <w:color w:val="000000"/>
          <w:sz w:val="18"/>
          <w:szCs w:val="18"/>
        </w:rPr>
        <w:t xml:space="preserve">  (Methylcobalamin (B12))</w:t>
      </w:r>
    </w:p>
    <w:p>
      <w:pPr>
        <w:spacing w:after="120"/>
      </w:pPr>
      <w:r>
        <w:rPr>
          <w:rFonts w:ascii="Roboto" w:cs="Roboto" w:eastAsia="Roboto" w:hAnsi="Roboto"/>
          <w:b/>
          <w:bCs/>
          <w:color w:val="C3AF88"/>
          <w:sz w:val="22"/>
          <w:szCs w:val="22"/>
        </w:rPr>
        <w:t xml:space="preserve">[12]</w:t>
      </w:r>
      <w:r>
        <w:rPr>
          <w:rFonts w:ascii="Roboto" w:cs="Roboto" w:eastAsia="Roboto" w:hAnsi="Roboto"/>
          <w:color w:val="000000"/>
          <w:sz w:val="22"/>
          <w:szCs w:val="22"/>
        </w:rPr>
        <w:t xml:space="preserve">  Scaglione F and Panzavolta G (2014). Folate, folic acid and 5-methyltetrahydrofolate are not the same thing. Xenobiotica.</w:t>
      </w:r>
      <w:r>
        <w:rPr>
          <w:rFonts w:ascii="Roboto" w:cs="Roboto" w:eastAsia="Roboto" w:hAnsi="Roboto"/>
          <w:i/>
          <w:iCs/>
          <w:color w:val="000000"/>
          <w:sz w:val="18"/>
          <w:szCs w:val="18"/>
        </w:rPr>
        <w:t xml:space="preserve">  (Calcium folinate)</w:t>
      </w:r>
    </w:p>
    <w:p>
      <w:pPr>
        <w:spacing w:after="120"/>
      </w:pPr>
      <w:r>
        <w:rPr>
          <w:rFonts w:ascii="Roboto" w:cs="Roboto" w:eastAsia="Roboto" w:hAnsi="Roboto"/>
          <w:b/>
          <w:bCs/>
          <w:color w:val="C3AF88"/>
          <w:sz w:val="22"/>
          <w:szCs w:val="22"/>
        </w:rPr>
        <w:t xml:space="preserve">[13]</w:t>
      </w:r>
      <w:r>
        <w:rPr>
          <w:rFonts w:ascii="Roboto" w:cs="Roboto" w:eastAsia="Roboto" w:hAnsi="Roboto"/>
          <w:color w:val="000000"/>
          <w:sz w:val="22"/>
          <w:szCs w:val="22"/>
        </w:rPr>
        <w:t xml:space="preserve">  Oxenkrug G (2013). Insulin resistance and dysregulation of tryptophan-kynurenine and kynurenine-nicotinamide adenine dinucleotide metabolic pathways. Molecular Neurobiology.</w:t>
      </w:r>
      <w:r>
        <w:rPr>
          <w:rFonts w:ascii="Roboto" w:cs="Roboto" w:eastAsia="Roboto" w:hAnsi="Roboto"/>
          <w:i/>
          <w:iCs/>
          <w:color w:val="000000"/>
          <w:sz w:val="18"/>
          <w:szCs w:val="18"/>
        </w:rPr>
        <w:t xml:space="preserve">  (Pyridoxal-5-phosphate (P5P / active B6))</w:t>
      </w:r>
    </w:p>
    <w:p>
      <w:pPr>
        <w:spacing w:after="120"/>
      </w:pPr>
      <w:r>
        <w:rPr>
          <w:rFonts w:ascii="Roboto" w:cs="Roboto" w:eastAsia="Roboto" w:hAnsi="Roboto"/>
          <w:b/>
          <w:bCs/>
          <w:color w:val="C3AF88"/>
          <w:sz w:val="22"/>
          <w:szCs w:val="22"/>
        </w:rPr>
        <w:t xml:space="preserve">[14]</w:t>
      </w:r>
      <w:r>
        <w:rPr>
          <w:rFonts w:ascii="Roboto" w:cs="Roboto" w:eastAsia="Roboto" w:hAnsi="Roboto"/>
          <w:color w:val="000000"/>
          <w:sz w:val="22"/>
          <w:szCs w:val="22"/>
        </w:rPr>
        <w:t xml:space="preserve">  Powers HJ (2003). Riboflavin (vitamin B-2) and health. American Journal of Clinical Nutrition.</w:t>
      </w:r>
      <w:r>
        <w:rPr>
          <w:rFonts w:ascii="Roboto" w:cs="Roboto" w:eastAsia="Roboto" w:hAnsi="Roboto"/>
          <w:i/>
          <w:iCs/>
          <w:color w:val="000000"/>
          <w:sz w:val="18"/>
          <w:szCs w:val="18"/>
        </w:rPr>
        <w:t xml:space="preserve">  (Riboflavin (B2))</w:t>
      </w:r>
    </w:p>
    <w:p>
      <w:pPr>
        <w:spacing w:after="120"/>
      </w:pPr>
      <w:r>
        <w:rPr>
          <w:rFonts w:ascii="Roboto" w:cs="Roboto" w:eastAsia="Roboto" w:hAnsi="Roboto"/>
          <w:b/>
          <w:bCs/>
          <w:color w:val="C3AF88"/>
          <w:sz w:val="22"/>
          <w:szCs w:val="22"/>
        </w:rPr>
        <w:t xml:space="preserve">[15]</w:t>
      </w:r>
      <w:r>
        <w:rPr>
          <w:rFonts w:ascii="Roboto" w:cs="Roboto" w:eastAsia="Roboto" w:hAnsi="Roboto"/>
          <w:color w:val="000000"/>
          <w:sz w:val="22"/>
          <w:szCs w:val="22"/>
        </w:rPr>
        <w:t xml:space="preserve">  Schuette SA et al. (1994). Bioavailability of magnesium diglycinate vs magnesium oxide in patients with ileal resection. JPEN Journal of Parenteral and Enteral Nutrition.</w:t>
      </w:r>
      <w:r>
        <w:rPr>
          <w:rFonts w:ascii="Roboto" w:cs="Roboto" w:eastAsia="Roboto" w:hAnsi="Roboto"/>
          <w:i/>
          <w:iCs/>
          <w:color w:val="000000"/>
          <w:sz w:val="18"/>
          <w:szCs w:val="18"/>
        </w:rPr>
        <w:t xml:space="preserve">  (Magnesium glycinate)</w:t>
      </w:r>
    </w:p>
    <w:p>
      <w:pPr>
        <w:spacing w:after="120"/>
      </w:pPr>
      <w:r>
        <w:rPr>
          <w:rFonts w:ascii="Roboto" w:cs="Roboto" w:eastAsia="Roboto" w:hAnsi="Roboto"/>
          <w:b/>
          <w:bCs/>
          <w:color w:val="C3AF88"/>
          <w:sz w:val="22"/>
          <w:szCs w:val="22"/>
        </w:rPr>
        <w:t xml:space="preserve">[16]</w:t>
      </w:r>
      <w:r>
        <w:rPr>
          <w:rFonts w:ascii="Roboto" w:cs="Roboto" w:eastAsia="Roboto" w:hAnsi="Roboto"/>
          <w:color w:val="000000"/>
          <w:sz w:val="22"/>
          <w:szCs w:val="22"/>
        </w:rPr>
        <w:t xml:space="preserve">  Tripkovic L et al. (2012). Comparison of vitamin D2 and vitamin D3 supplementation in raising serum 25-hydroxyvitamin D status: a systematic review and meta-analysis. American Journal of Clinical Nutrition.</w:t>
      </w:r>
      <w:r>
        <w:rPr>
          <w:rFonts w:ascii="Roboto" w:cs="Roboto" w:eastAsia="Roboto" w:hAnsi="Roboto"/>
          <w:i/>
          <w:iCs/>
          <w:color w:val="000000"/>
          <w:sz w:val="18"/>
          <w:szCs w:val="18"/>
        </w:rPr>
        <w:t xml:space="preserve">  (Vitamin D3 (cholecalciferol))</w:t>
      </w:r>
    </w:p>
    <w:p>
      <w:pPr>
        <w:pBdr>
          <w:top w:val="single" w:color="C3AF88" w:sz="6" w:space="4"/>
        </w:pBdr>
        <w:spacing w:after="120" w:before="360"/>
      </w:pPr>
      <w:r>
        <w:rPr>
          <w:rFonts w:ascii="Roboto" w:cs="Roboto" w:eastAsia="Roboto" w:hAnsi="Roboto"/>
          <w:b/>
          <w:bCs/>
          <w:i/>
          <w:iCs/>
          <w:color w:val="000000"/>
          <w:sz w:val="18"/>
          <w:szCs w:val="18"/>
        </w:rPr>
        <w:t xml:space="preserve">Patients should not act on the contents of this document without the direct guidance of their treating practitioner.</w:t>
      </w:r>
    </w:p>
    <w:p>
      <w:pPr>
        <w:spacing w:after="60"/>
      </w:pPr>
      <w:r>
        <w:rPr>
          <w:rFonts w:ascii="Roboto" w:cs="Roboto" w:eastAsia="Roboto" w:hAnsi="Roboto"/>
          <w:i/>
          <w:iCs/>
          <w:color w:val="666666"/>
          <w:sz w:val="18"/>
          <w:szCs w:val="18"/>
        </w:rPr>
        <w:t xml:space="preserve">Submission: SUB-2026-003  •  Generated: 30 May 2026, 6:38 pm</w:t>
      </w:r>
    </w:p>
    <w:p>
      <w:pPr>
        <w:spacing w:after="60"/>
      </w:pPr>
      <w:r>
        <w:rPr>
          <w:rFonts w:ascii="Roboto" w:cs="Roboto" w:eastAsia="Roboto" w:hAnsi="Roboto"/>
          <w:i/>
          <w:iCs/>
          <w:color w:val="666666"/>
          <w:sz w:val="18"/>
          <w:szCs w:val="18"/>
        </w:rPr>
        <w:t xml:space="preserve">Audit Reference: 6D40-90BC-A79D</w:t>
      </w:r>
    </w:p>
    <w:sectPr>
      <w:footerReference w:type="default" r:id="rId7"/>
      <w:pgSz w:w="11906" w:h="16838"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Roboto" w:cs="Roboto" w:eastAsia="Roboto" w:hAnsi="Roboto"/>
        <w:color w:val="666666"/>
        <w:sz w:val="16"/>
        <w:szCs w:val="16"/>
      </w:rPr>
      <w:t xml:space="preserve">N of 1 Precision Formulation  |  SUB-2026-003  |  DRAFT — Page </w:t>
    </w:r>
    <w:r>
      <w:rPr>
        <w:rFonts w:ascii="Roboto" w:cs="Roboto" w:eastAsia="Roboto" w:hAnsi="Roboto"/>
        <w:color w:val="666666"/>
        <w:sz w:val="16"/>
        <w:szCs w:val="16"/>
      </w:rPr>
      <w:fldChar w:fldCharType="begin"/>
      <w:instrText xml:space="preserve">PAGE</w:instrText>
      <w:fldChar w:fldCharType="separate"/>
      <w:fldChar w:fldCharType="end"/>
    </w:r>
    <w:r>
      <w:rPr>
        <w:rFonts w:ascii="Roboto" w:cs="Roboto" w:eastAsia="Roboto" w:hAnsi="Roboto"/>
        <w:color w:val="666666"/>
        <w:sz w:val="16"/>
        <w:szCs w:val="16"/>
      </w:rPr>
      <w:t xml:space="preserve"> of </w:t>
    </w:r>
    <w:r>
      <w:rPr>
        <w:rFonts w:ascii="Roboto" w:cs="Roboto" w:eastAsia="Roboto" w:hAnsi="Roboto"/>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oboto" w:cs="Roboto" w:eastAsia="Roboto" w:hAnsi="Roboto"/>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2a66d48eaf0c05f3b2f313fea30ee617ddf5b3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2026-05-30T08:58:55.731Z</dcterms:created>
  <dcterms:modified xsi:type="dcterms:W3CDTF">2026-05-30T08:58:55.731Z</dcterms:modified>
</cp:coreProperties>
</file>

<file path=docProps/custom.xml><?xml version="1.0" encoding="utf-8"?>
<Properties xmlns="http://schemas.openxmlformats.org/officeDocument/2006/custom-properties" xmlns:vt="http://schemas.openxmlformats.org/officeDocument/2006/docPropsVTypes"/>
</file>