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drawing>
          <wp:inline distT="0" distB="0" distL="0" distR="0">
            <wp:extent cx="51435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962025"/>
                    </a:xfrm>
                    <a:prstGeom prst="rect">
                      <a:avLst/>
                    </a:prstGeom>
                  </pic:spPr>
                </pic:pic>
              </a:graphicData>
            </a:graphic>
          </wp:inline>
        </w:drawing>
      </w:r>
    </w:p>
    <w:p>
      <w:pPr>
        <w:spacing w:after="60"/>
      </w:pPr>
      <w:r>
        <w:rPr>
          <w:rFonts w:ascii="Roboto" w:cs="Roboto" w:eastAsia="Roboto" w:hAnsi="Roboto"/>
          <w:b/>
          <w:bCs/>
          <w:color w:val="535B50"/>
          <w:sz w:val="36"/>
          <w:szCs w:val="36"/>
        </w:rPr>
        <w:t xml:space="preserve">Health Analysis</w:t>
      </w:r>
    </w:p>
    <w:p>
      <w:pPr>
        <w:spacing w:after="240"/>
      </w:pPr>
      <w:r>
        <w:rPr>
          <w:rFonts w:ascii="Roboto" w:cs="Roboto" w:eastAsia="Roboto" w:hAnsi="Roboto"/>
          <w:i/>
          <w:iCs/>
          <w:color w:val="666666"/>
          <w:sz w:val="22"/>
          <w:szCs w:val="22"/>
        </w:rPr>
        <w:t xml:space="preserve">N of 1 Precision Formulation  •  Practitioner Decision Support</w:t>
      </w:r>
    </w:p>
    <w:p>
      <w:pPr>
        <w:pBdr>
          <w:top w:val="single" w:color="8B2A2A" w:sz="6" w:space="2"/>
          <w:bottom w:val="single" w:color="8B2A2A" w:sz="6" w:space="2"/>
        </w:pBdr>
        <w:spacing w:after="240" w:before="120"/>
        <w:jc w:val="center"/>
      </w:pPr>
      <w:r>
        <w:rPr>
          <w:rFonts w:ascii="Roboto" w:cs="Roboto" w:eastAsia="Roboto" w:hAnsi="Roboto"/>
          <w:b/>
          <w:bCs/>
          <w:color w:val="8B2A2A"/>
          <w:sz w:val="22"/>
          <w:szCs w:val="22"/>
        </w:rPr>
        <w:t xml:space="preserve">DRAFT — PENDING PRACTITIONER REVIEW AND APPROVAL</w:t>
      </w:r>
    </w:p>
    <w:p>
      <w:pPr>
        <w:spacing w:after="240"/>
      </w:pPr>
      <w:r>
        <w:rPr>
          <w:rFonts w:ascii="Roboto" w:cs="Roboto" w:eastAsia="Roboto" w:hAnsi="Roboto"/>
          <w:i/>
          <w:iCs/>
          <w:color w:val="000000"/>
          <w:sz w:val="18"/>
          <w:szCs w:val="18"/>
        </w:rPr>
        <w:t xml:space="preserve">This document is decision support for a qualified healthcare practitioner. It is not a diagnosis, not a prescription, and not directed to the patient. The reviewing practitioner is the prescribing clinician of record and exercises independent clinical judgement on every recommendation contained herein.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700"/>
        <w:gridCol w:w="1900"/>
      </w:tblGrid>
      <w:tr>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Patient Pseudonym</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PT-2026-004</w:t>
            </w:r>
          </w:p>
        </w:tc>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Age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53</w:t>
            </w:r>
          </w:p>
        </w:tc>
      </w:tr>
      <w:tr>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Sex (at birth)</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male</w:t>
            </w:r>
          </w:p>
        </w:tc>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Test Type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EndoSCAN</w:t>
            </w:r>
          </w:p>
        </w:tc>
      </w:tr>
      <w:tr>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Lab ID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6463011</w:t>
            </w:r>
          </w:p>
        </w:tc>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Collection Date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2026-03-10</w:t>
            </w:r>
          </w:p>
        </w:tc>
      </w:tr>
      <w:tr>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Practitioner ID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P001-NATUROPATH</w:t>
            </w:r>
          </w:p>
        </w:tc>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Practitioner Type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naturopath</w:t>
            </w:r>
          </w:p>
        </w:tc>
      </w:tr>
      <w:tr>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Submission ID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SUB-2026-004</w:t>
            </w:r>
          </w:p>
        </w:tc>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Generated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31 May 2026, 8:58 am</w:t>
            </w:r>
          </w:p>
        </w:tc>
      </w:tr>
    </w:tbl>
    <w:p>
      <w:r>
        <w:t xml:space="preserve"/>
      </w:r>
    </w:p>
    <w:p>
      <w:pPr>
        <w:pBdr>
          <w:bottom w:val="single" w:color="C3AF88" w:sz="6" w:space="4"/>
        </w:pBdr>
        <w:spacing w:after="180" w:before="360"/>
      </w:pPr>
      <w:r>
        <w:rPr>
          <w:rFonts w:ascii="Roboto" w:cs="Roboto" w:eastAsia="Roboto" w:hAnsi="Roboto"/>
          <w:b/>
          <w:bCs/>
          <w:color w:val="535B50"/>
          <w:sz w:val="28"/>
          <w:szCs w:val="28"/>
        </w:rPr>
        <w:t xml:space="preserve">Section 1 — Executive Summary</w:t>
      </w:r>
    </w:p>
    <w:p>
      <w:pPr>
        <w:spacing w:after="240"/>
      </w:pPr>
      <w:r>
        <w:rPr>
          <w:rFonts w:ascii="Roboto" w:cs="Roboto" w:eastAsia="Roboto" w:hAnsi="Roboto"/>
          <w:b w:val="false"/>
          <w:bCs w:val="false"/>
          <w:color w:val="000000"/>
          <w:sz w:val="22"/>
          <w:szCs w:val="22"/>
        </w:rPr>
        <w:t xml:space="preserve">EndoSCAN findings in this 53-year-old male show a pattern consistent with low total urinary cortisol (HPA-hypocortisolism), reduced oestrogen quotient (E3 relative to E1+E2 below the laboratory reference framework), and low Phase I 2-OH and 4-OH oestrogen metabolites with a low 2-OH:16-OH ratio — patterns warranting practitioner consideration of adaptogenic, oestrogen-metabolism-supportive, and antioxidant/methylation cofactor strategies.</w:t>
      </w:r>
    </w:p>
    <w:p>
      <w:pPr>
        <w:spacing w:after="180" w:before="240"/>
      </w:pPr>
      <w:r>
        <w:rPr>
          <w:rFonts w:ascii="Roboto" w:cs="Roboto" w:eastAsia="Roboto" w:hAnsi="Roboto"/>
          <w:b/>
          <w:bCs/>
          <w:color w:val="535B50"/>
          <w:sz w:val="24"/>
          <w:szCs w:val="24"/>
        </w:rPr>
        <w:t xml:space="preserve">Recognised clinical patterns</w:t>
      </w:r>
    </w:p>
    <w:p>
      <w:pPr>
        <w:spacing w:after="60"/>
      </w:pPr>
      <w:r>
        <w:rPr>
          <w:rFonts w:ascii="Roboto" w:cs="Roboto" w:eastAsia="Roboto" w:hAnsi="Roboto"/>
          <w:b/>
          <w:bCs/>
          <w:color w:val="C3AF88"/>
          <w:sz w:val="22"/>
          <w:szCs w:val="22"/>
        </w:rPr>
        <w:t xml:space="preserve">• </w:t>
      </w:r>
      <w:r>
        <w:rPr>
          <w:rFonts w:ascii="Roboto" w:cs="Roboto" w:eastAsia="Roboto" w:hAnsi="Roboto"/>
          <w:b/>
          <w:bCs/>
          <w:color w:val="000000"/>
          <w:sz w:val="22"/>
          <w:szCs w:val="22"/>
        </w:rPr>
        <w:t xml:space="preserve">HPA-hypocortisolism</w:t>
      </w:r>
    </w:p>
    <w:p>
      <w:pPr>
        <w:spacing w:after="120"/>
        <w:ind w:left="360"/>
      </w:pPr>
      <w:r>
        <w:rPr>
          <w:rFonts w:ascii="Roboto" w:cs="Roboto" w:eastAsia="Roboto" w:hAnsi="Roboto"/>
          <w:color w:val="666666"/>
          <w:sz w:val="20"/>
          <w:szCs w:val="20"/>
        </w:rPr>
        <w:t xml:space="preserve">Supporting findings: Total 24hr Cortisol 24.91 ug/gCR (reference 50.00–200.00) — low, DHEA 16.27 ug/gCR within reference but in lower portion of range, Symptom cluster including fatigue (morning, mental, evening), difficulty sleeping, burned-out feeling, decreased stamina</w:t>
      </w:r>
    </w:p>
    <w:p>
      <w:pPr>
        <w:spacing w:after="60"/>
      </w:pPr>
      <w:r>
        <w:rPr>
          <w:rFonts w:ascii="Roboto" w:cs="Roboto" w:eastAsia="Roboto" w:hAnsi="Roboto"/>
          <w:b/>
          <w:bCs/>
          <w:color w:val="C3AF88"/>
          <w:sz w:val="22"/>
          <w:szCs w:val="22"/>
        </w:rPr>
        <w:t xml:space="preserve">• </w:t>
      </w:r>
      <w:r>
        <w:rPr>
          <w:rFonts w:ascii="Roboto" w:cs="Roboto" w:eastAsia="Roboto" w:hAnsi="Roboto"/>
          <w:b/>
          <w:bCs/>
          <w:color w:val="000000"/>
          <w:sz w:val="22"/>
          <w:szCs w:val="22"/>
        </w:rPr>
        <w:t xml:space="preserve">16-OH-dominant oestrogen metabolism (low 2:16 ratio)</w:t>
      </w:r>
    </w:p>
    <w:p>
      <w:pPr>
        <w:spacing w:after="120"/>
        <w:ind w:left="360"/>
      </w:pPr>
      <w:r>
        <w:rPr>
          <w:rFonts w:ascii="Roboto" w:cs="Roboto" w:eastAsia="Roboto" w:hAnsi="Roboto"/>
          <w:color w:val="666666"/>
          <w:sz w:val="20"/>
          <w:szCs w:val="20"/>
        </w:rPr>
        <w:t xml:space="preserve">Supporting findings: 2-OH(E1+E2)/16-OHE1 ratio 0.60 (reference 1.10–5.60), 2-OH Estrone 0.04 ug/gCR (reference 0.10–1.88), Estrogen Quotient E3/(E1+E2) 0.24 (reference &gt;0.25)</w:t>
      </w:r>
    </w:p>
    <w:p>
      <w:pPr>
        <w:spacing w:after="60"/>
      </w:pPr>
      <w:r>
        <w:rPr>
          <w:rFonts w:ascii="Roboto" w:cs="Roboto" w:eastAsia="Roboto" w:hAnsi="Roboto"/>
          <w:b/>
          <w:bCs/>
          <w:color w:val="C3AF88"/>
          <w:sz w:val="22"/>
          <w:szCs w:val="22"/>
        </w:rPr>
        <w:t xml:space="preserve">• </w:t>
      </w:r>
      <w:r>
        <w:rPr>
          <w:rFonts w:ascii="Roboto" w:cs="Roboto" w:eastAsia="Roboto" w:hAnsi="Roboto"/>
          <w:b/>
          <w:bCs/>
          <w:color w:val="000000"/>
          <w:sz w:val="22"/>
          <w:szCs w:val="22"/>
        </w:rPr>
        <w:t xml:space="preserve">Low 2-OH substrate with preserved COMT methylation capacity</w:t>
      </w:r>
    </w:p>
    <w:p>
      <w:pPr>
        <w:spacing w:after="120"/>
        <w:ind w:left="360"/>
      </w:pPr>
      <w:r>
        <w:rPr>
          <w:rFonts w:ascii="Roboto" w:cs="Roboto" w:eastAsia="Roboto" w:hAnsi="Roboto"/>
          <w:color w:val="666666"/>
          <w:sz w:val="20"/>
          <w:szCs w:val="20"/>
        </w:rPr>
        <w:t xml:space="preserve">Supporting findings: 2-MeOH Estrone 0.01 ug/gCR (low) but 2-MeOH E1 / 2-OH E1 ratio 0.30 within reference (0.05–0.50), 4-MeOH E2 / 4-OH E2 ratio 4.39 (above reference) suggesting active methylation capacity</w:t>
      </w:r>
    </w:p>
    <w:p>
      <w:pPr>
        <w:pBdr>
          <w:bottom w:val="single" w:color="C3AF88" w:sz="6" w:space="4"/>
        </w:pBdr>
        <w:spacing w:after="180" w:before="360"/>
      </w:pPr>
      <w:r>
        <w:rPr>
          <w:rFonts w:ascii="Roboto" w:cs="Roboto" w:eastAsia="Roboto" w:hAnsi="Roboto"/>
          <w:b/>
          <w:bCs/>
          <w:color w:val="535B50"/>
          <w:sz w:val="28"/>
          <w:szCs w:val="28"/>
        </w:rPr>
        <w:t xml:space="preserve">Section 2 — Detailed Biomarker Analysis</w:t>
      </w:r>
    </w:p>
    <w:p>
      <w:pPr>
        <w:spacing w:after="240"/>
      </w:pPr>
      <w:r>
        <w:rPr>
          <w:rFonts w:ascii="Roboto" w:cs="Roboto" w:eastAsia="Roboto" w:hAnsi="Roboto"/>
          <w:b w:val="false"/>
          <w:bCs w:val="false"/>
          <w:color w:val="000000"/>
          <w:sz w:val="22"/>
          <w:szCs w:val="22"/>
        </w:rPr>
        <w:t xml:space="preserve">The following 13 biomarker findings are surfaced for practitioner review. Each finding includes a hedged interpretation, possible contributors per the published literature, and the relevance of the finding to the formulation strategy.</w:t>
      </w:r>
    </w:p>
    <w:p>
      <w:pPr>
        <w:spacing w:after="60" w:before="120"/>
      </w:pPr>
      <w:r>
        <w:rPr>
          <w:rFonts w:ascii="Roboto" w:cs="Roboto" w:eastAsia="Roboto" w:hAnsi="Roboto"/>
          <w:b/>
          <w:bCs/>
          <w:color w:val="535B50"/>
          <w:sz w:val="22"/>
          <w:szCs w:val="22"/>
        </w:rPr>
        <w:t xml:space="preserve">Total 24hr Cortisol</w:t>
      </w:r>
      <w:r>
        <w:rPr>
          <w:rFonts w:ascii="Roboto" w:cs="Roboto" w:eastAsia="Roboto" w:hAnsi="Roboto"/>
          <w:color w:val="000000"/>
          <w:sz w:val="22"/>
          <w:szCs w:val="22"/>
        </w:rPr>
        <w:t xml:space="preserve">   24.91 ug/gCR</w:t>
      </w:r>
      <w:r>
        <w:rPr>
          <w:rFonts w:ascii="Roboto" w:cs="Roboto" w:eastAsia="Roboto" w:hAnsi="Roboto"/>
          <w:i/>
          <w:iCs/>
          <w:color w:val="666666"/>
          <w:sz w:val="20"/>
          <w:szCs w:val="20"/>
        </w:rPr>
        <w:t xml:space="preserve">   (ref: 50.00–200.00 ug/gCR)</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Below the laboratory reference framework — pattern consistent with reduced adrenal glucocorticoid output. The laboratory comment notes this is associated with chronic HPA axis suppression or prolonged physiological stress per published frameworks.</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Published literature identifies chronic stress, disrupted circadian rhythm, prolonged HPA activation followed by attenuation, sleep disruption, and undernutrition as factors that may contribute to reduced urinary cortisol output — practitioner to assess relevance to this patient.</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Drives the thyroid_adaptogenic axis (adaptogen support — ashwagandha, rhodiola, american ginseng) and the vitamin_d_c_neurotransmitter axis (vitamin C as adrenal cofactor) and the b_vitamins_methylation axis (B5 / pantothenic acid as CoA precursor and specific adrenal cofactor).</w:t>
      </w:r>
    </w:p>
    <w:p>
      <w:pPr>
        <w:spacing w:after="60" w:before="120"/>
      </w:pPr>
      <w:r>
        <w:rPr>
          <w:rFonts w:ascii="Roboto" w:cs="Roboto" w:eastAsia="Roboto" w:hAnsi="Roboto"/>
          <w:b/>
          <w:bCs/>
          <w:color w:val="535B50"/>
          <w:sz w:val="22"/>
          <w:szCs w:val="22"/>
        </w:rPr>
        <w:t xml:space="preserve">Estrogen Quotient E3/(E1+E2)</w:t>
      </w:r>
      <w:r>
        <w:rPr>
          <w:rFonts w:ascii="Roboto" w:cs="Roboto" w:eastAsia="Roboto" w:hAnsi="Roboto"/>
          <w:color w:val="000000"/>
          <w:sz w:val="22"/>
          <w:szCs w:val="22"/>
        </w:rPr>
        <w:t xml:space="preserve">   0.24 (ratio)</w:t>
      </w:r>
      <w:r>
        <w:rPr>
          <w:rFonts w:ascii="Roboto" w:cs="Roboto" w:eastAsia="Roboto" w:hAnsi="Roboto"/>
          <w:i/>
          <w:iCs/>
          <w:color w:val="666666"/>
          <w:sz w:val="20"/>
          <w:szCs w:val="20"/>
        </w:rPr>
        <w:t xml:space="preserve">   (ref: &gt;0.25)</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Marginally below the laboratory reference framework — pattern consistent with relative E3 reduction versus more potent E1+E2.</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Published literature identifies impaired Phase I 2-hydroxylation, impaired 16α-hydroxylation balance, and incomplete oestrogen conjugation as factors that may contribute to a low E3 quotient — practitioner to assess relevance.</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Supports inclusion of hormone_metabolism axis ingredients (DIM to support 2-OH pathway, calcium D-glucarate for glucuronidation/beta-glucuronidase inhibition, milk thistle for Phase II hepatic conjugation).</w:t>
      </w:r>
    </w:p>
    <w:p>
      <w:pPr>
        <w:spacing w:after="60" w:before="120"/>
      </w:pPr>
      <w:r>
        <w:rPr>
          <w:rFonts w:ascii="Roboto" w:cs="Roboto" w:eastAsia="Roboto" w:hAnsi="Roboto"/>
          <w:b/>
          <w:bCs/>
          <w:color w:val="535B50"/>
          <w:sz w:val="22"/>
          <w:szCs w:val="22"/>
        </w:rPr>
        <w:t xml:space="preserve">2-OH Estrone</w:t>
      </w:r>
      <w:r>
        <w:rPr>
          <w:rFonts w:ascii="Roboto" w:cs="Roboto" w:eastAsia="Roboto" w:hAnsi="Roboto"/>
          <w:color w:val="000000"/>
          <w:sz w:val="22"/>
          <w:szCs w:val="22"/>
        </w:rPr>
        <w:t xml:space="preserve">   0.04 ug/gCR</w:t>
      </w:r>
      <w:r>
        <w:rPr>
          <w:rFonts w:ascii="Roboto" w:cs="Roboto" w:eastAsia="Roboto" w:hAnsi="Roboto"/>
          <w:i/>
          <w:iCs/>
          <w:color w:val="666666"/>
          <w:sz w:val="20"/>
          <w:szCs w:val="20"/>
        </w:rPr>
        <w:t xml:space="preserve">   (ref: 0.10–1.88 ug/gCR)</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Below the laboratory reference framework — pattern consistent with reduced Phase I 2-hydroxylation of oestrone.</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Published literature identifies reduced CYP1A1 activity, inadequate cruciferous vegetable intake (DIM/I3C precursors), and Nrf2 pathway under-activation as factors that may contribute to low 2-OH metabolite output — practitioner to assess relevance.</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Supports DIM inclusion as the canonical agent for shifting Phase I oestrogen hydroxylation toward the 2-OH pathway.</w:t>
      </w:r>
    </w:p>
    <w:p>
      <w:pPr>
        <w:spacing w:after="60" w:before="120"/>
      </w:pPr>
      <w:r>
        <w:rPr>
          <w:rFonts w:ascii="Roboto" w:cs="Roboto" w:eastAsia="Roboto" w:hAnsi="Roboto"/>
          <w:b/>
          <w:bCs/>
          <w:color w:val="535B50"/>
          <w:sz w:val="22"/>
          <w:szCs w:val="22"/>
        </w:rPr>
        <w:t xml:space="preserve">2-OH(E1+E2)/16-OHE1 ratio</w:t>
      </w:r>
      <w:r>
        <w:rPr>
          <w:rFonts w:ascii="Roboto" w:cs="Roboto" w:eastAsia="Roboto" w:hAnsi="Roboto"/>
          <w:color w:val="000000"/>
          <w:sz w:val="22"/>
          <w:szCs w:val="22"/>
        </w:rPr>
        <w:t xml:space="preserve">   0.60</w:t>
      </w:r>
      <w:r>
        <w:rPr>
          <w:rFonts w:ascii="Roboto" w:cs="Roboto" w:eastAsia="Roboto" w:hAnsi="Roboto"/>
          <w:i/>
          <w:iCs/>
          <w:color w:val="666666"/>
          <w:sz w:val="20"/>
          <w:szCs w:val="20"/>
        </w:rPr>
        <w:t xml:space="preserve">   (ref: 1.10–5.60)</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Below the laboratory reference framework — pattern consistent with relative 16-OH predominance over the protective 2-OH pathway.</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Published literature identifies low cruciferous vegetable intake, inflammation, insulin dysregulation, and adiposity as factors that may contribute to a low 2:16 ratio — practitioner to assess relevance.</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Reinforces hormone_metabolism axis priority — DIM, calcium D-glucarate, milk thistle, resveratrol for 2-OH pathway support and Phase II hepatic conjugation.</w:t>
      </w:r>
    </w:p>
    <w:p>
      <w:pPr>
        <w:spacing w:after="60" w:before="120"/>
      </w:pPr>
      <w:r>
        <w:rPr>
          <w:rFonts w:ascii="Roboto" w:cs="Roboto" w:eastAsia="Roboto" w:hAnsi="Roboto"/>
          <w:b/>
          <w:bCs/>
          <w:color w:val="535B50"/>
          <w:sz w:val="22"/>
          <w:szCs w:val="22"/>
        </w:rPr>
        <w:t xml:space="preserve">2-MeOH Estrone</w:t>
      </w:r>
      <w:r>
        <w:rPr>
          <w:rFonts w:ascii="Roboto" w:cs="Roboto" w:eastAsia="Roboto" w:hAnsi="Roboto"/>
          <w:color w:val="000000"/>
          <w:sz w:val="22"/>
          <w:szCs w:val="22"/>
        </w:rPr>
        <w:t xml:space="preserve">   0.01 ug/gCR</w:t>
      </w:r>
      <w:r>
        <w:rPr>
          <w:rFonts w:ascii="Roboto" w:cs="Roboto" w:eastAsia="Roboto" w:hAnsi="Roboto"/>
          <w:i/>
          <w:iCs/>
          <w:color w:val="666666"/>
          <w:sz w:val="20"/>
          <w:szCs w:val="20"/>
        </w:rPr>
        <w:t xml:space="preserve">   (ref: 0.02–0.20 ug/gCR)</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Below the laboratory reference framework — interpretation in this case is dominated by the low 2-OH substrate (the COMT ratio 2-MeO-E1/2-OH-E1 of 0.30 is within reference 0.05–0.50), suggesting substrate availability rather than COMT capacity is the rate-limiting step.</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Published literature notes that 2-MeO output is dependent on adequate 2-OH substrate and COMT cofactors (magnesium, SAMe/methyl donors) — practitioner to assess relevance.</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Supports inclusion of methylation cofactors (methylcobalamin, calcium folinate, P5P, riboflavin, magnesium glycinate) at meaningful doses, alongside DIM to provide 2-OH substrate.</w:t>
      </w:r>
    </w:p>
    <w:p>
      <w:pPr>
        <w:spacing w:after="60" w:before="120"/>
      </w:pPr>
      <w:r>
        <w:rPr>
          <w:rFonts w:ascii="Roboto" w:cs="Roboto" w:eastAsia="Roboto" w:hAnsi="Roboto"/>
          <w:b/>
          <w:bCs/>
          <w:color w:val="535B50"/>
          <w:sz w:val="22"/>
          <w:szCs w:val="22"/>
        </w:rPr>
        <w:t xml:space="preserve">2-MeOH Estradiol</w:t>
      </w:r>
      <w:r>
        <w:rPr>
          <w:rFonts w:ascii="Roboto" w:cs="Roboto" w:eastAsia="Roboto" w:hAnsi="Roboto"/>
          <w:color w:val="000000"/>
          <w:sz w:val="22"/>
          <w:szCs w:val="22"/>
        </w:rPr>
        <w:t xml:space="preserve">   0.01 ug/gCR</w:t>
      </w:r>
      <w:r>
        <w:rPr>
          <w:rFonts w:ascii="Roboto" w:cs="Roboto" w:eastAsia="Roboto" w:hAnsi="Roboto"/>
          <w:i/>
          <w:iCs/>
          <w:color w:val="666666"/>
          <w:sz w:val="20"/>
          <w:szCs w:val="20"/>
        </w:rPr>
        <w:t xml:space="preserve">   (ref: 0.01–0.08 ug/gCR)</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At the lower limit of the laboratory reference framework — pattern consistent with low downstream methylated metabolite, again reflecting low 2-OH substrate.</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Published literature: same as 2-MeOH Estrone above.</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Same as 2-MeOH Estrone — methylation cofactor and DIM support.</w:t>
      </w:r>
    </w:p>
    <w:p>
      <w:pPr>
        <w:spacing w:after="60" w:before="120"/>
      </w:pPr>
      <w:r>
        <w:rPr>
          <w:rFonts w:ascii="Roboto" w:cs="Roboto" w:eastAsia="Roboto" w:hAnsi="Roboto"/>
          <w:b/>
          <w:bCs/>
          <w:color w:val="535B50"/>
          <w:sz w:val="22"/>
          <w:szCs w:val="22"/>
        </w:rPr>
        <w:t xml:space="preserve">4-OH Estradiol</w:t>
      </w:r>
      <w:r>
        <w:rPr>
          <w:rFonts w:ascii="Roboto" w:cs="Roboto" w:eastAsia="Roboto" w:hAnsi="Roboto"/>
          <w:color w:val="000000"/>
          <w:sz w:val="22"/>
          <w:szCs w:val="22"/>
        </w:rPr>
        <w:t xml:space="preserve">   &lt;DL ug/gCR</w:t>
      </w:r>
      <w:r>
        <w:rPr>
          <w:rFonts w:ascii="Roboto" w:cs="Roboto" w:eastAsia="Roboto" w:hAnsi="Roboto"/>
          <w:i/>
          <w:iCs/>
          <w:color w:val="666666"/>
          <w:sz w:val="20"/>
          <w:szCs w:val="20"/>
        </w:rPr>
        <w:t xml:space="preserve">   (ref: 0.02–0.25 ug/gCR)</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Below detection — consistent with low genotoxic 4-OH metabolite output, generally a favourable pattern per the laboratory framework.</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Published literature notes that 4-OH metabolites reflect CYP1B1 activity; low values are generally considered protective relative to high values.</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Does not drive specific stack additions; NAC and quercetin (included for other reasons) provide quinone-quenching capacity if 4-OH output rises.</w:t>
      </w:r>
    </w:p>
    <w:p>
      <w:pPr>
        <w:spacing w:after="60" w:before="120"/>
      </w:pPr>
      <w:r>
        <w:rPr>
          <w:rFonts w:ascii="Roboto" w:cs="Roboto" w:eastAsia="Roboto" w:hAnsi="Roboto"/>
          <w:b/>
          <w:bCs/>
          <w:color w:val="535B50"/>
          <w:sz w:val="22"/>
          <w:szCs w:val="22"/>
        </w:rPr>
        <w:t xml:space="preserve">4-OH Estrone</w:t>
      </w:r>
      <w:r>
        <w:rPr>
          <w:rFonts w:ascii="Roboto" w:cs="Roboto" w:eastAsia="Roboto" w:hAnsi="Roboto"/>
          <w:color w:val="000000"/>
          <w:sz w:val="22"/>
          <w:szCs w:val="22"/>
        </w:rPr>
        <w:t xml:space="preserve">   0.03 ug/gCR</w:t>
      </w:r>
      <w:r>
        <w:rPr>
          <w:rFonts w:ascii="Roboto" w:cs="Roboto" w:eastAsia="Roboto" w:hAnsi="Roboto"/>
          <w:i/>
          <w:iCs/>
          <w:color w:val="666666"/>
          <w:sz w:val="20"/>
          <w:szCs w:val="20"/>
        </w:rPr>
        <w:t xml:space="preserve">   (ref: 0.03–0.30 ug/gCR)</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At the lower limit of the laboratory reference framework — favourable pattern per laboratory comment.</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Same as 4-OH Estradiol above.</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Not a primary driver of formulation.</w:t>
      </w:r>
    </w:p>
    <w:p>
      <w:pPr>
        <w:spacing w:after="60" w:before="120"/>
      </w:pPr>
      <w:r>
        <w:rPr>
          <w:rFonts w:ascii="Roboto" w:cs="Roboto" w:eastAsia="Roboto" w:hAnsi="Roboto"/>
          <w:b/>
          <w:bCs/>
          <w:color w:val="535B50"/>
          <w:sz w:val="22"/>
          <w:szCs w:val="22"/>
        </w:rPr>
        <w:t xml:space="preserve">4-MeOH E2/4-OH E2 ratio</w:t>
      </w:r>
      <w:r>
        <w:rPr>
          <w:rFonts w:ascii="Roboto" w:cs="Roboto" w:eastAsia="Roboto" w:hAnsi="Roboto"/>
          <w:color w:val="000000"/>
          <w:sz w:val="22"/>
          <w:szCs w:val="22"/>
        </w:rPr>
        <w:t xml:space="preserve">   4.39</w:t>
      </w:r>
      <w:r>
        <w:rPr>
          <w:rFonts w:ascii="Roboto" w:cs="Roboto" w:eastAsia="Roboto" w:hAnsi="Roboto"/>
          <w:i/>
          <w:iCs/>
          <w:color w:val="666666"/>
          <w:sz w:val="20"/>
          <w:szCs w:val="20"/>
        </w:rPr>
        <w:t xml:space="preserve">   (ref: 0.06–1.03)</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Above the laboratory reference framework — the laboratory comment characterises this as reflecting efficient methylation of 4-OH metabolites, a generally favourable pattern.</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Published literature notes that elevated methylated/hydroxylated ratios suggest active COMT-mediated detoxification of catechol oestrogens.</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Suggests COMT methylation capacity for the 4-OH branch is preserved; does not contraindicate methylation cofactor support given 2-OH branch substrate is the limiting factor.</w:t>
      </w:r>
    </w:p>
    <w:p>
      <w:pPr>
        <w:spacing w:after="60" w:before="120"/>
      </w:pPr>
      <w:r>
        <w:rPr>
          <w:rFonts w:ascii="Roboto" w:cs="Roboto" w:eastAsia="Roboto" w:hAnsi="Roboto"/>
          <w:b/>
          <w:bCs/>
          <w:color w:val="535B50"/>
          <w:sz w:val="22"/>
          <w:szCs w:val="22"/>
        </w:rPr>
        <w:t xml:space="preserve">Testosterone</w:t>
      </w:r>
      <w:r>
        <w:rPr>
          <w:rFonts w:ascii="Roboto" w:cs="Roboto" w:eastAsia="Roboto" w:hAnsi="Roboto"/>
          <w:color w:val="000000"/>
          <w:sz w:val="22"/>
          <w:szCs w:val="22"/>
        </w:rPr>
        <w:t xml:space="preserve">   15.38 ug/gCR</w:t>
      </w:r>
      <w:r>
        <w:rPr>
          <w:rFonts w:ascii="Roboto" w:cs="Roboto" w:eastAsia="Roboto" w:hAnsi="Roboto"/>
          <w:i/>
          <w:iCs/>
          <w:color w:val="666666"/>
          <w:sz w:val="20"/>
          <w:szCs w:val="20"/>
        </w:rPr>
        <w:t xml:space="preserve">   (ref: 2.50–25.00 ug/gCR)</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Within laboratory reference framework, upper-middle of range.</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Not flagged.</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Does not drive androgen-specific inclusions; supports moderate (not high) zinc dosing rather than maximal 5-alpha-reductase suppression.</w:t>
      </w:r>
    </w:p>
    <w:p>
      <w:pPr>
        <w:spacing w:after="60" w:before="120"/>
      </w:pPr>
      <w:r>
        <w:rPr>
          <w:rFonts w:ascii="Roboto" w:cs="Roboto" w:eastAsia="Roboto" w:hAnsi="Roboto"/>
          <w:b/>
          <w:bCs/>
          <w:color w:val="535B50"/>
          <w:sz w:val="22"/>
          <w:szCs w:val="22"/>
        </w:rPr>
        <w:t xml:space="preserve">DHEA</w:t>
      </w:r>
      <w:r>
        <w:rPr>
          <w:rFonts w:ascii="Roboto" w:cs="Roboto" w:eastAsia="Roboto" w:hAnsi="Roboto"/>
          <w:color w:val="000000"/>
          <w:sz w:val="22"/>
          <w:szCs w:val="22"/>
        </w:rPr>
        <w:t xml:space="preserve">   16.27 ug/gCR</w:t>
      </w:r>
      <w:r>
        <w:rPr>
          <w:rFonts w:ascii="Roboto" w:cs="Roboto" w:eastAsia="Roboto" w:hAnsi="Roboto"/>
          <w:i/>
          <w:iCs/>
          <w:color w:val="666666"/>
          <w:sz w:val="20"/>
          <w:szCs w:val="20"/>
        </w:rPr>
        <w:t xml:space="preserve">   (ref: 9.00–105.00 ug/gCR)</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Within reference, lower portion of range — alongside low cortisol, pattern consistent with reduced overall adrenal steroidogenic output.</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Published literature identifies HPA suppression as a contributor to reduced DHEA in conjunction with reduced cortisol.</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Reinforces adaptogenic axis priority.</w:t>
      </w:r>
    </w:p>
    <w:p>
      <w:pPr>
        <w:spacing w:after="60" w:before="120"/>
      </w:pPr>
      <w:r>
        <w:rPr>
          <w:rFonts w:ascii="Roboto" w:cs="Roboto" w:eastAsia="Roboto" w:hAnsi="Roboto"/>
          <w:b/>
          <w:bCs/>
          <w:color w:val="535B50"/>
          <w:sz w:val="22"/>
          <w:szCs w:val="22"/>
        </w:rPr>
        <w:t xml:space="preserve">Pregnanediol</w:t>
      </w:r>
      <w:r>
        <w:rPr>
          <w:rFonts w:ascii="Roboto" w:cs="Roboto" w:eastAsia="Roboto" w:hAnsi="Roboto"/>
          <w:color w:val="000000"/>
          <w:sz w:val="22"/>
          <w:szCs w:val="22"/>
        </w:rPr>
        <w:t xml:space="preserve">   36 ug/gCR</w:t>
      </w:r>
      <w:r>
        <w:rPr>
          <w:rFonts w:ascii="Roboto" w:cs="Roboto" w:eastAsia="Roboto" w:hAnsi="Roboto"/>
          <w:i/>
          <w:iCs/>
          <w:color w:val="666666"/>
          <w:sz w:val="20"/>
          <w:szCs w:val="20"/>
        </w:rPr>
        <w:t xml:space="preserve">   (ref: 25–150 ug/gCR)</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Within reference, lower portion of range — not flagged.</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Not relevant to formulation here.</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No specific addition; not a driver in male physiology of this pattern.</w:t>
      </w:r>
    </w:p>
    <w:p>
      <w:pPr>
        <w:spacing w:after="60" w:before="120"/>
      </w:pPr>
      <w:r>
        <w:rPr>
          <w:rFonts w:ascii="Roboto" w:cs="Roboto" w:eastAsia="Roboto" w:hAnsi="Roboto"/>
          <w:b/>
          <w:bCs/>
          <w:color w:val="535B50"/>
          <w:sz w:val="22"/>
          <w:szCs w:val="22"/>
        </w:rPr>
        <w:t xml:space="preserve">Endocrine disruptor panel (BPA, PFAS, PFOA, PFOS, Al, As, Cd, Cr, Pb, Hg, Ni)</w:t>
      </w:r>
      <w:r>
        <w:rPr>
          <w:rFonts w:ascii="Roboto" w:cs="Roboto" w:eastAsia="Roboto" w:hAnsi="Roboto"/>
          <w:color w:val="000000"/>
          <w:sz w:val="22"/>
          <w:szCs w:val="22"/>
        </w:rPr>
        <w:t xml:space="preserve">   All below or near detection limits within reference</w:t>
      </w:r>
      <w:r>
        <w:rPr>
          <w:rFonts w:ascii="Roboto" w:cs="Roboto" w:eastAsia="Roboto" w:hAnsi="Roboto"/>
          <w:i/>
          <w:iCs/>
          <w:color w:val="666666"/>
          <w:sz w:val="20"/>
          <w:szCs w:val="20"/>
        </w:rPr>
        <w:t xml:space="preserve">   (ref: Per laboratory framework)</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No evidence of significant environmental exposure burden on this panel — favourable.</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Not applicable.</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No heavy_metal_detox axis prioritisation required; antioxidant_redox axis remains relevant for general oestrogen-metabolism support.</w:t>
      </w:r>
    </w:p>
    <w:p>
      <w:pPr>
        <w:pBdr>
          <w:bottom w:val="single" w:color="C3AF88" w:sz="6" w:space="4"/>
        </w:pBdr>
        <w:spacing w:after="180" w:before="360"/>
      </w:pPr>
      <w:r>
        <w:rPr>
          <w:rFonts w:ascii="Roboto" w:cs="Roboto" w:eastAsia="Roboto" w:hAnsi="Roboto"/>
          <w:b/>
          <w:bCs/>
          <w:color w:val="535B50"/>
          <w:sz w:val="28"/>
          <w:szCs w:val="28"/>
        </w:rPr>
        <w:t xml:space="preserve">Section 3 — Diet and Lifestyle Considerations</w:t>
      </w:r>
    </w:p>
    <w:p>
      <w:pPr>
        <w:spacing w:after="240"/>
      </w:pPr>
      <w:r>
        <w:rPr>
          <w:rFonts w:ascii="Roboto" w:cs="Roboto" w:eastAsia="Roboto" w:hAnsi="Roboto"/>
          <w:b w:val="false"/>
          <w:bCs w:val="false"/>
          <w:color w:val="000000"/>
          <w:sz w:val="22"/>
          <w:szCs w:val="22"/>
        </w:rPr>
        <w:t xml:space="preserve">The following considerations are surfaced for practitioner-led discussion. They sit alongside the recommended formulation rather than substituting for it.</w:t>
      </w:r>
    </w:p>
    <w:p>
      <w:pPr>
        <w:spacing w:after="60" w:before="120"/>
      </w:pPr>
      <w:r>
        <w:rPr>
          <w:rFonts w:ascii="Roboto" w:cs="Roboto" w:eastAsia="Roboto" w:hAnsi="Roboto"/>
          <w:b/>
          <w:bCs/>
          <w:color w:val="535B50"/>
          <w:sz w:val="22"/>
          <w:szCs w:val="22"/>
        </w:rPr>
        <w:t xml:space="preserve">Cruciferous vegetables</w:t>
      </w:r>
    </w:p>
    <w:p>
      <w:pPr>
        <w:spacing w:after="60"/>
      </w:pPr>
      <w:r>
        <w:rPr>
          <w:rFonts w:ascii="Roboto" w:cs="Roboto" w:eastAsia="Roboto" w:hAnsi="Roboto"/>
          <w:b/>
          <w:bCs/>
          <w:color w:val="535B50"/>
          <w:sz w:val="20"/>
          <w:szCs w:val="20"/>
        </w:rPr>
        <w:t xml:space="preserve">Consideration: </w:t>
      </w:r>
      <w:r>
        <w:rPr>
          <w:rFonts w:ascii="Roboto" w:cs="Roboto" w:eastAsia="Roboto" w:hAnsi="Roboto"/>
          <w:color w:val="000000"/>
          <w:sz w:val="20"/>
          <w:szCs w:val="20"/>
        </w:rPr>
        <w:t xml:space="preserve">The practitioner may wish to discuss with the patient regular intake of cruciferous vegetables (broccoli, broccoli sprouts, brussels sprouts, cabbage, cauliflower) as dietary sources of indole-3-carbinol and DIM precursors — published literature supports cruciferous intake for 2-OH pathway support.</w:t>
      </w:r>
    </w:p>
    <w:p>
      <w:pPr>
        <w:spacing w:after="60"/>
      </w:pPr>
      <w:r>
        <w:rPr>
          <w:rFonts w:ascii="Roboto" w:cs="Roboto" w:eastAsia="Roboto" w:hAnsi="Roboto"/>
          <w:b/>
          <w:bCs/>
          <w:color w:val="535B50"/>
          <w:sz w:val="20"/>
          <w:szCs w:val="20"/>
        </w:rPr>
        <w:t xml:space="preserve">Rationale: </w:t>
      </w:r>
      <w:r>
        <w:rPr>
          <w:rFonts w:ascii="Roboto" w:cs="Roboto" w:eastAsia="Roboto" w:hAnsi="Roboto"/>
          <w:color w:val="000000"/>
          <w:sz w:val="20"/>
          <w:szCs w:val="20"/>
        </w:rPr>
        <w:t xml:space="preserve">Low 2-OH Estrone and low 2:16 ratio suggest practitioner consideration of dietary support for the 2-hydroxylation pathway.</w:t>
      </w:r>
    </w:p>
    <w:p>
      <w:pPr>
        <w:spacing w:after="60" w:before="120"/>
      </w:pPr>
      <w:r>
        <w:rPr>
          <w:rFonts w:ascii="Roboto" w:cs="Roboto" w:eastAsia="Roboto" w:hAnsi="Roboto"/>
          <w:b/>
          <w:bCs/>
          <w:color w:val="535B50"/>
          <w:sz w:val="22"/>
          <w:szCs w:val="22"/>
        </w:rPr>
        <w:t xml:space="preserve">Stress / HPA-axis support</w:t>
      </w:r>
    </w:p>
    <w:p>
      <w:pPr>
        <w:spacing w:after="60"/>
      </w:pPr>
      <w:r>
        <w:rPr>
          <w:rFonts w:ascii="Roboto" w:cs="Roboto" w:eastAsia="Roboto" w:hAnsi="Roboto"/>
          <w:b/>
          <w:bCs/>
          <w:color w:val="535B50"/>
          <w:sz w:val="20"/>
          <w:szCs w:val="20"/>
        </w:rPr>
        <w:t xml:space="preserve">Consideration: </w:t>
      </w:r>
      <w:r>
        <w:rPr>
          <w:rFonts w:ascii="Roboto" w:cs="Roboto" w:eastAsia="Roboto" w:hAnsi="Roboto"/>
          <w:color w:val="000000"/>
          <w:sz w:val="20"/>
          <w:szCs w:val="20"/>
        </w:rPr>
        <w:t xml:space="preserve">The practitioner may wish to explore with the patient sleep hygiene, circadian alignment (morning light exposure, consistent bedtime), workload/recovery balance, and stress-reduction practices.</w:t>
      </w:r>
    </w:p>
    <w:p>
      <w:pPr>
        <w:spacing w:after="60"/>
      </w:pPr>
      <w:r>
        <w:rPr>
          <w:rFonts w:ascii="Roboto" w:cs="Roboto" w:eastAsia="Roboto" w:hAnsi="Roboto"/>
          <w:b/>
          <w:bCs/>
          <w:color w:val="535B50"/>
          <w:sz w:val="20"/>
          <w:szCs w:val="20"/>
        </w:rPr>
        <w:t xml:space="preserve">Rationale: </w:t>
      </w:r>
      <w:r>
        <w:rPr>
          <w:rFonts w:ascii="Roboto" w:cs="Roboto" w:eastAsia="Roboto" w:hAnsi="Roboto"/>
          <w:color w:val="000000"/>
          <w:sz w:val="20"/>
          <w:szCs w:val="20"/>
        </w:rPr>
        <w:t xml:space="preserve">Low total urinary cortisol pattern alongside the patient's reported symptoms (fatigue cluster, sleep difficulty, burned-out feeling per symptom report) — for practitioner consideration.</w:t>
      </w:r>
    </w:p>
    <w:p>
      <w:pPr>
        <w:spacing w:after="60" w:before="120"/>
      </w:pPr>
      <w:r>
        <w:rPr>
          <w:rFonts w:ascii="Roboto" w:cs="Roboto" w:eastAsia="Roboto" w:hAnsi="Roboto"/>
          <w:b/>
          <w:bCs/>
          <w:color w:val="535B50"/>
          <w:sz w:val="22"/>
          <w:szCs w:val="22"/>
        </w:rPr>
        <w:t xml:space="preserve">Fibre and bowel transit</w:t>
      </w:r>
    </w:p>
    <w:p>
      <w:pPr>
        <w:spacing w:after="60"/>
      </w:pPr>
      <w:r>
        <w:rPr>
          <w:rFonts w:ascii="Roboto" w:cs="Roboto" w:eastAsia="Roboto" w:hAnsi="Roboto"/>
          <w:b/>
          <w:bCs/>
          <w:color w:val="535B50"/>
          <w:sz w:val="20"/>
          <w:szCs w:val="20"/>
        </w:rPr>
        <w:t xml:space="preserve">Consideration: </w:t>
      </w:r>
      <w:r>
        <w:rPr>
          <w:rFonts w:ascii="Roboto" w:cs="Roboto" w:eastAsia="Roboto" w:hAnsi="Roboto"/>
          <w:color w:val="000000"/>
          <w:sz w:val="20"/>
          <w:szCs w:val="20"/>
        </w:rPr>
        <w:t xml:space="preserve">The practitioner may wish to discuss adequate soluble and insoluble fibre intake and regular bowel transit to support enterohepatic clearance of conjugated oestrogen metabolites.</w:t>
      </w:r>
    </w:p>
    <w:p>
      <w:pPr>
        <w:spacing w:after="60"/>
      </w:pPr>
      <w:r>
        <w:rPr>
          <w:rFonts w:ascii="Roboto" w:cs="Roboto" w:eastAsia="Roboto" w:hAnsi="Roboto"/>
          <w:b/>
          <w:bCs/>
          <w:color w:val="535B50"/>
          <w:sz w:val="20"/>
          <w:szCs w:val="20"/>
        </w:rPr>
        <w:t xml:space="preserve">Rationale: </w:t>
      </w:r>
      <w:r>
        <w:rPr>
          <w:rFonts w:ascii="Roboto" w:cs="Roboto" w:eastAsia="Roboto" w:hAnsi="Roboto"/>
          <w:color w:val="000000"/>
          <w:sz w:val="20"/>
          <w:szCs w:val="20"/>
        </w:rPr>
        <w:t xml:space="preserve">Pattern consistent with reduced oestrogen quotient and 2:16 ratio supports consideration of enterohepatic clearance optimisation.</w:t>
      </w:r>
    </w:p>
    <w:p>
      <w:pPr>
        <w:spacing w:after="60" w:before="120"/>
      </w:pPr>
      <w:r>
        <w:rPr>
          <w:rFonts w:ascii="Roboto" w:cs="Roboto" w:eastAsia="Roboto" w:hAnsi="Roboto"/>
          <w:b/>
          <w:bCs/>
          <w:color w:val="535B50"/>
          <w:sz w:val="22"/>
          <w:szCs w:val="22"/>
        </w:rPr>
        <w:t xml:space="preserve">Alcohol moderation</w:t>
      </w:r>
    </w:p>
    <w:p>
      <w:pPr>
        <w:spacing w:after="60"/>
      </w:pPr>
      <w:r>
        <w:rPr>
          <w:rFonts w:ascii="Roboto" w:cs="Roboto" w:eastAsia="Roboto" w:hAnsi="Roboto"/>
          <w:b/>
          <w:bCs/>
          <w:color w:val="535B50"/>
          <w:sz w:val="20"/>
          <w:szCs w:val="20"/>
        </w:rPr>
        <w:t xml:space="preserve">Consideration: </w:t>
      </w:r>
      <w:r>
        <w:rPr>
          <w:rFonts w:ascii="Roboto" w:cs="Roboto" w:eastAsia="Roboto" w:hAnsi="Roboto"/>
          <w:color w:val="000000"/>
          <w:sz w:val="20"/>
          <w:szCs w:val="20"/>
        </w:rPr>
        <w:t xml:space="preserve">The practitioner may wish to discuss alcohol intake as published literature identifies alcohol as a factor that may influence oestrogen metabolism and hepatic Phase II conjugation.</w:t>
      </w:r>
    </w:p>
    <w:p>
      <w:pPr>
        <w:spacing w:after="60"/>
      </w:pPr>
      <w:r>
        <w:rPr>
          <w:rFonts w:ascii="Roboto" w:cs="Roboto" w:eastAsia="Roboto" w:hAnsi="Roboto"/>
          <w:b/>
          <w:bCs/>
          <w:color w:val="535B50"/>
          <w:sz w:val="20"/>
          <w:szCs w:val="20"/>
        </w:rPr>
        <w:t xml:space="preserve">Rationale: </w:t>
      </w:r>
      <w:r>
        <w:rPr>
          <w:rFonts w:ascii="Roboto" w:cs="Roboto" w:eastAsia="Roboto" w:hAnsi="Roboto"/>
          <w:color w:val="000000"/>
          <w:sz w:val="20"/>
          <w:szCs w:val="20"/>
        </w:rPr>
        <w:t xml:space="preserve">For practitioner consideration in the context of oestrogen-metabolism pattern findings.</w:t>
      </w:r>
    </w:p>
    <w:p>
      <w:pPr>
        <w:spacing w:after="60" w:before="120"/>
      </w:pPr>
      <w:r>
        <w:rPr>
          <w:rFonts w:ascii="Roboto" w:cs="Roboto" w:eastAsia="Roboto" w:hAnsi="Roboto"/>
          <w:b/>
          <w:bCs/>
          <w:color w:val="535B50"/>
          <w:sz w:val="22"/>
          <w:szCs w:val="22"/>
        </w:rPr>
        <w:t xml:space="preserve">Protein adequacy</w:t>
      </w:r>
    </w:p>
    <w:p>
      <w:pPr>
        <w:spacing w:after="60"/>
      </w:pPr>
      <w:r>
        <w:rPr>
          <w:rFonts w:ascii="Roboto" w:cs="Roboto" w:eastAsia="Roboto" w:hAnsi="Roboto"/>
          <w:b/>
          <w:bCs/>
          <w:color w:val="535B50"/>
          <w:sz w:val="20"/>
          <w:szCs w:val="20"/>
        </w:rPr>
        <w:t xml:space="preserve">Consideration: </w:t>
      </w:r>
      <w:r>
        <w:rPr>
          <w:rFonts w:ascii="Roboto" w:cs="Roboto" w:eastAsia="Roboto" w:hAnsi="Roboto"/>
          <w:color w:val="000000"/>
          <w:sz w:val="20"/>
          <w:szCs w:val="20"/>
        </w:rPr>
        <w:t xml:space="preserve">The practitioner may wish to assess protein adequacy as amino acids (glycine, taurine, methionine) are substrates for Phase II conjugation pathways.</w:t>
      </w:r>
    </w:p>
    <w:p>
      <w:pPr>
        <w:spacing w:after="60"/>
      </w:pPr>
      <w:r>
        <w:rPr>
          <w:rFonts w:ascii="Roboto" w:cs="Roboto" w:eastAsia="Roboto" w:hAnsi="Roboto"/>
          <w:b/>
          <w:bCs/>
          <w:color w:val="535B50"/>
          <w:sz w:val="20"/>
          <w:szCs w:val="20"/>
        </w:rPr>
        <w:t xml:space="preserve">Rationale: </w:t>
      </w:r>
      <w:r>
        <w:rPr>
          <w:rFonts w:ascii="Roboto" w:cs="Roboto" w:eastAsia="Roboto" w:hAnsi="Roboto"/>
          <w:color w:val="000000"/>
          <w:sz w:val="20"/>
          <w:szCs w:val="20"/>
        </w:rPr>
        <w:t xml:space="preserve">Supports overall oestrogen and xenobiotic conjugation capacity.</w:t>
      </w:r>
    </w:p>
    <w:p>
      <w:pPr>
        <w:pBdr>
          <w:bottom w:val="single" w:color="C3AF88" w:sz="6" w:space="4"/>
        </w:pBdr>
        <w:spacing w:after="180" w:before="360"/>
      </w:pPr>
      <w:r>
        <w:rPr>
          <w:rFonts w:ascii="Roboto" w:cs="Roboto" w:eastAsia="Roboto" w:hAnsi="Roboto"/>
          <w:b/>
          <w:bCs/>
          <w:color w:val="535B50"/>
          <w:sz w:val="28"/>
          <w:szCs w:val="28"/>
        </w:rPr>
        <w:t xml:space="preserve">Section 4 — Recommended Formulation Logic</w:t>
      </w:r>
    </w:p>
    <w:p>
      <w:pPr>
        <w:spacing w:after="180" w:before="240"/>
      </w:pPr>
      <w:r>
        <w:rPr>
          <w:rFonts w:ascii="Roboto" w:cs="Roboto" w:eastAsia="Roboto" w:hAnsi="Roboto"/>
          <w:b/>
          <w:bCs/>
          <w:color w:val="535B50"/>
          <w:sz w:val="24"/>
          <w:szCs w:val="24"/>
        </w:rPr>
        <w:t xml:space="preserve">Overall strategy</w:t>
      </w:r>
    </w:p>
    <w:p>
      <w:pPr>
        <w:spacing w:after="120"/>
      </w:pPr>
      <w:r>
        <w:rPr>
          <w:rFonts w:ascii="Roboto" w:cs="Roboto" w:eastAsia="Roboto" w:hAnsi="Roboto"/>
          <w:b w:val="false"/>
          <w:bCs w:val="false"/>
          <w:color w:val="000000"/>
          <w:sz w:val="22"/>
          <w:szCs w:val="22"/>
        </w:rPr>
        <w:t xml:space="preserve">The formulation addresses three recognised patterns: (1) HPA-hypocortisolism, (2) 16-OH-dominant oestrogen metabolism with low 2-OH substrate, and (3) preserved-but-substrate-limited COMT methylation. The hormone_metabolism axis receives primary allocation given the panel is principally an oestrogen-metabolism panel; the thyroid_adaptogenic axis receives strong secondary allocation for HPA support; methylation cofactors, magnesium, mitochondrial/adrenal support (CoQ10), antioxidant redox, and vitamin C/D round out the formulation. Foundational ingredients are placed across all activated axes first, then the pod is filled with complementary layer ingredients via cycling in priority order. The Step 3 foundational-pass running total was approximately 470 granules, well below the 1000-granule threshold for catalyst-layer strategy, so the standard layer-pass strategy applies. Per-ingredient doses sit within Library maxima and overall pod loading is targeted at the 630–710 granule fill range.</w:t>
      </w:r>
    </w:p>
    <w:p>
      <w:pPr>
        <w:spacing w:after="180" w:before="240"/>
      </w:pPr>
      <w:r>
        <w:rPr>
          <w:rFonts w:ascii="Roboto" w:cs="Roboto" w:eastAsia="Roboto" w:hAnsi="Roboto"/>
          <w:b/>
          <w:bCs/>
          <w:color w:val="535B50"/>
          <w:sz w:val="24"/>
          <w:szCs w:val="24"/>
        </w:rPr>
        <w:t xml:space="preserve">What was intentionally included, and why</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DIM (W140019000) at 100 mg as the foundational hormone_metabolism agent for shifting Phase I oestrogen hydroxylation toward 2-OH pathway — directly addresses low 2-OH Estrone and low 2:16 ratio.</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Calcium D-glucarate (W040012000) at 500 mg for glucuronidation support and beta-glucuronidase inhibition — supports Phase II clearance of conjugated oestrogens, addressing low oestrogen quotient.</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Milk thistle / silymarin (W010013000) at 150 mg for Nrf2-mediated Phase II hepatic conjugation support.</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Resveratrol (W010019000) at 150 mg for mild aromatase modulation and 2-OH pathway support; chosen because the patient is male with mid-range testosterone and patterns suggest oestrogen metabolism balance is the focus rather than androgen modulation.</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Ashwagandha (W010003000) at 300 mg as the foundational adaptogen for HPA-hypocortisolism pattern — supports HPA resilience.</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Rhodiola (W010020000) at 200 mg as a complementary HPA adaptogen.</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American ginseng (W010001000) at 200 mg as additional HPA support given the low cortisol pattern.</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Coenzyme Q10 (W030021000) at 100 mg for mitochondrial/adrenal energetics in the context of HPA-hypocortisolism.</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Methylcobalamin B12 (W030008000) at 500 mcg, Calcium folinate (W030027000) at 547 mcg (capped at TGA maximum of 500 mcg folinic acid), P5P/B6 (W030012000) at 15.68 mg, Riboflavin B2 (W030011000) at 20 mg — methylation cofactor stack supporting COMT and overall methylation cycle.</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Pantothenic acid B5 (W030004000) at 218.4 mg as specific adrenal cofactor (CoA precursor) for HPA support.</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Nicotinamide B3 (W030003000) at 50 mg for general energy/redox support.</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Magnesium glycinate (W040002000) at 119.7 mg elemental (1023.5 mg salt) — COMT cofactor and HPA support; dose-reduced from 300 mg elemental clinical target to fit the pod budget.</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Zinc citrate (W040008000) at 24.92 mg elemental — moderate dose for aromatase modulation, immune and steroidogenic support; deliberately moderate rather than maximum given testosterone is mid-range.</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NAC (W140010000) at 500 mg as antioxidant/quinone-quenching agent and glutathione precursor.</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Quercetin (W010031000) at 227.2 mg (250 mg salt) for antioxidant and oestrogen-metabolism support.</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Vitamin C (W030001000) at 500 mg as adrenal cofactor and antioxidant.</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Vitamin D3 (W030005000) at 25 mcg (1000 IU) for general endocrine support at Library maximum daily dose.</w:t>
      </w:r>
    </w:p>
    <w:p>
      <w:pPr>
        <w:spacing w:after="180" w:before="240"/>
      </w:pPr>
      <w:r>
        <w:rPr>
          <w:rFonts w:ascii="Roboto" w:cs="Roboto" w:eastAsia="Roboto" w:hAnsi="Roboto"/>
          <w:b/>
          <w:bCs/>
          <w:color w:val="535B50"/>
          <w:sz w:val="24"/>
          <w:szCs w:val="24"/>
        </w:rPr>
        <w:t xml:space="preserve">What was intentionally excluded, and why</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Saw palmetto (W010043000) — Testosterone is mid-range and androgen-excess pattern is not activated on this panel; 5-alpha-reductase suppression is not indicated.</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High-dose iodine (&gt;150 mcg) — Conservative binding-exclusion principle in the absence of thyroid antibody data on this panel; not indicated by HMP findings.</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Selenium — Not indicated by panel findings; no thyroid driver activated. Excluded by deprioritisation rather than binding exclusion.</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Iron — Not indicated by panel findings; no iron-deficiency or iron-overload pattern activated.</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Copper — Not indicated by panel findings; no Cu/Zn imbalance pattern available from this panel.</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5-HTP — No serotonergic driver on this panel; serotonin-syndrome risk principle applies as a general caution given medications were not provided.</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Berberine — Glucose / cardiometabolic axis is not activated by this panel.</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Vitex / Chaste tree — Patient is male; not indicated.</w:t>
      </w:r>
    </w:p>
    <w:p>
      <w:pPr>
        <w:spacing w:after="240"/>
      </w:pPr>
      <w:r>
        <w:rPr>
          <w:rFonts w:ascii="Roboto" w:cs="Roboto" w:eastAsia="Roboto" w:hAnsi="Roboto"/>
          <w:b w:val="false"/>
          <w:bCs w:val="false"/>
          <w:color w:val="000000"/>
          <w:sz w:val="22"/>
          <w:szCs w:val="22"/>
        </w:rPr>
        <w:t xml:space="preserve">The detailed ingredient-by-ingredient formulation, including doses, granule counts, and per-ingredient rationale, is in the companion Recommended Formulation Schedule (.xlsx).</w:t>
      </w:r>
    </w:p>
    <w:p>
      <w:pPr>
        <w:pBdr>
          <w:bottom w:val="single" w:color="C3AF88" w:sz="6" w:space="4"/>
        </w:pBdr>
        <w:spacing w:after="180" w:before="360"/>
      </w:pPr>
      <w:r>
        <w:rPr>
          <w:rFonts w:ascii="Roboto" w:cs="Roboto" w:eastAsia="Roboto" w:hAnsi="Roboto"/>
          <w:b/>
          <w:bCs/>
          <w:color w:val="535B50"/>
          <w:sz w:val="28"/>
          <w:szCs w:val="28"/>
        </w:rPr>
        <w:t xml:space="preserve">Section 5 — Contraindication and Interaction Considerations</w:t>
      </w:r>
    </w:p>
    <w:p>
      <w:pPr>
        <w:spacing w:after="180" w:before="240"/>
      </w:pPr>
      <w:r>
        <w:rPr>
          <w:rFonts w:ascii="Roboto" w:cs="Roboto" w:eastAsia="Roboto" w:hAnsi="Roboto"/>
          <w:b/>
          <w:bCs/>
          <w:color w:val="535B50"/>
          <w:sz w:val="24"/>
          <w:szCs w:val="24"/>
        </w:rPr>
        <w:t xml:space="preserve">Contraindication flags</w:t>
      </w:r>
    </w:p>
    <w:p>
      <w:pPr>
        <w:spacing w:after="120"/>
      </w:pPr>
      <w:r>
        <w:rPr>
          <w:rFonts w:ascii="Roboto" w:cs="Roboto" w:eastAsia="Roboto" w:hAnsi="Roboto"/>
          <w:b w:val="false"/>
          <w:bCs w:val="false"/>
          <w:color w:val="000000"/>
          <w:sz w:val="22"/>
          <w:szCs w:val="22"/>
        </w:rPr>
        <w:t xml:space="preserve">6 contraindication or interaction consideration(s) raised for practitioner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1985"/>
        <w:gridCol w:w="4151"/>
        <w:gridCol w:w="1624"/>
      </w:tblGrid>
      <w:tr>
        <w:trPr>
          <w:tblHeader/>
        </w:trPr>
        <w:tc>
          <w:tcPr>
            <w:tcW w:type="dxa" w:w="1263"/>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Severity</w:t>
            </w:r>
          </w:p>
        </w:tc>
        <w:tc>
          <w:tcPr>
            <w:tcW w:type="dxa" w:w="1985"/>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Flag</w:t>
            </w:r>
          </w:p>
        </w:tc>
        <w:tc>
          <w:tcPr>
            <w:tcW w:type="dxa" w:w="4151"/>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Description</w:t>
            </w:r>
          </w:p>
        </w:tc>
        <w:tc>
          <w:tcPr>
            <w:tcW w:type="dxa" w:w="1624"/>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Affected Ingredient(s)</w:t>
            </w:r>
          </w:p>
        </w:tc>
      </w:tr>
      <w:tr>
        <w:tc>
          <w:tcPr>
            <w:tcW w:type="dxa" w:w="126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bCs/>
                <w:color w:val="666666"/>
                <w:sz w:val="20"/>
                <w:szCs w:val="20"/>
              </w:rPr>
              <w:t xml:space="preserve">informational</w:t>
            </w:r>
          </w:p>
        </w:tc>
        <w:tc>
          <w:tcPr>
            <w:tcW w:type="dxa" w:w="1985"/>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No medication context provided</w:t>
            </w:r>
          </w:p>
        </w:tc>
        <w:tc>
          <w:tcPr>
            <w:tcW w:type="dxa" w:w="4151"/>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Practitioner's clinical notes did not list current medications. Standard contraindication checks are therefore based on the formulation alone. The practitioner may wish to confirm absence of: anticoagulants (relevant to resveratrol and CoQ10 per TGA warnings), thyroid medications (relevant to ashwagandha caution), immunosuppressants (relevant to adaptogens), glucose-lowering agents (relevant to American ginseng), antihypertensives (relevant to American ginseng), and CYP3A4/2D6 substrates.</w:t>
            </w:r>
          </w:p>
        </w:tc>
        <w:tc>
          <w:tcPr>
            <w:tcW w:type="dxa" w:w="162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w:t>
            </w:r>
          </w:p>
        </w:tc>
      </w:tr>
      <w:tr>
        <w:tc>
          <w:tcPr>
            <w:tcW w:type="dxa" w:w="126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bCs/>
                <w:color w:val="C3AF88"/>
                <w:sz w:val="20"/>
                <w:szCs w:val="20"/>
              </w:rPr>
              <w:t xml:space="preserve">moderate</w:t>
            </w:r>
          </w:p>
        </w:tc>
        <w:tc>
          <w:tcPr>
            <w:tcW w:type="dxa" w:w="1985"/>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Resveratrol — warfarin interaction risk</w:t>
            </w:r>
          </w:p>
        </w:tc>
        <w:tc>
          <w:tcPr>
            <w:tcW w:type="dxa" w:w="4151"/>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TGA-required label warning notes resveratrol may affect anticoagulants including warfarin. Confirm patient is not on anticoagulants before recommending.</w:t>
            </w:r>
          </w:p>
        </w:tc>
        <w:tc>
          <w:tcPr>
            <w:tcW w:type="dxa" w:w="162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Resveratrol</w:t>
            </w:r>
          </w:p>
        </w:tc>
      </w:tr>
      <w:tr>
        <w:tc>
          <w:tcPr>
            <w:tcW w:type="dxa" w:w="126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bCs/>
                <w:color w:val="C3AF88"/>
                <w:sz w:val="20"/>
                <w:szCs w:val="20"/>
              </w:rPr>
              <w:t xml:space="preserve">moderate</w:t>
            </w:r>
          </w:p>
        </w:tc>
        <w:tc>
          <w:tcPr>
            <w:tcW w:type="dxa" w:w="1985"/>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CoQ10 — warfarin interaction risk</w:t>
            </w:r>
          </w:p>
        </w:tc>
        <w:tc>
          <w:tcPr>
            <w:tcW w:type="dxa" w:w="4151"/>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TGA-required label warning notes caution with warfarin therapy. Confirm patient is not on anticoagulants before recommending.</w:t>
            </w:r>
          </w:p>
        </w:tc>
        <w:tc>
          <w:tcPr>
            <w:tcW w:type="dxa" w:w="162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Coenzyme Q10</w:t>
            </w:r>
          </w:p>
        </w:tc>
      </w:tr>
      <w:tr>
        <w:tc>
          <w:tcPr>
            <w:tcW w:type="dxa" w:w="126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bCs/>
                <w:color w:val="666666"/>
                <w:sz w:val="20"/>
                <w:szCs w:val="20"/>
              </w:rPr>
              <w:t xml:space="preserve">monitor</w:t>
            </w:r>
          </w:p>
        </w:tc>
        <w:tc>
          <w:tcPr>
            <w:tcW w:type="dxa" w:w="1985"/>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Vitamin B6 peripheral neuropathy</w:t>
            </w:r>
          </w:p>
        </w:tc>
        <w:tc>
          <w:tcPr>
            <w:tcW w:type="dxa" w:w="4151"/>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TGA-required label warning advises monitoring for tingling, burning, or numbness with vitamin B6 use. Dose in this formulation is conservative (10 mg pyridoxine equivalent) and well below regulatory thresholds, but the practitioner may wish to monitor on follow-up.</w:t>
            </w:r>
          </w:p>
        </w:tc>
        <w:tc>
          <w:tcPr>
            <w:tcW w:type="dxa" w:w="162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Vitamin B6 (P5P)</w:t>
            </w:r>
          </w:p>
        </w:tc>
      </w:tr>
      <w:tr>
        <w:tc>
          <w:tcPr>
            <w:tcW w:type="dxa" w:w="126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bCs/>
                <w:color w:val="666666"/>
                <w:sz w:val="20"/>
                <w:szCs w:val="20"/>
              </w:rPr>
              <w:t xml:space="preserve">monitor</w:t>
            </w:r>
          </w:p>
        </w:tc>
        <w:tc>
          <w:tcPr>
            <w:tcW w:type="dxa" w:w="1985"/>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Long-term zinc and copper status</w:t>
            </w:r>
          </w:p>
        </w:tc>
        <w:tc>
          <w:tcPr>
            <w:tcW w:type="dxa" w:w="4151"/>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Zinc at 25 mg elemental long-term (&gt;3 months) warrants practitioner consideration of copper status per standard frameworks. Re-test or clinical review at appropriate intervals.</w:t>
            </w:r>
          </w:p>
        </w:tc>
        <w:tc>
          <w:tcPr>
            <w:tcW w:type="dxa" w:w="162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Zinc citrate</w:t>
            </w:r>
          </w:p>
        </w:tc>
      </w:tr>
      <w:tr>
        <w:tc>
          <w:tcPr>
            <w:tcW w:type="dxa" w:w="126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bCs/>
                <w:color w:val="666666"/>
                <w:sz w:val="20"/>
                <w:szCs w:val="20"/>
              </w:rPr>
              <w:t xml:space="preserve">applied</w:t>
            </w:r>
          </w:p>
        </w:tc>
        <w:tc>
          <w:tcPr>
            <w:tcW w:type="dxa" w:w="1985"/>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Iodine — binding exclusion applied</w:t>
            </w:r>
          </w:p>
        </w:tc>
        <w:tc>
          <w:tcPr>
            <w:tcW w:type="dxa" w:w="4151"/>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Iodine above 150 mcg not included given absence of thyroid antibody data on this panel. No iodine included in formulation as no thyroid driver is activated.</w:t>
            </w:r>
          </w:p>
        </w:tc>
        <w:tc>
          <w:tcPr>
            <w:tcW w:type="dxa" w:w="162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w:t>
            </w:r>
          </w:p>
        </w:tc>
      </w:tr>
    </w:tbl>
    <w:p>
      <w:pPr>
        <w:spacing w:after="180" w:before="240"/>
      </w:pPr>
      <w:r>
        <w:rPr>
          <w:rFonts w:ascii="Roboto" w:cs="Roboto" w:eastAsia="Roboto" w:hAnsi="Roboto"/>
          <w:b/>
          <w:bCs/>
          <w:color w:val="535B50"/>
          <w:sz w:val="24"/>
          <w:szCs w:val="24"/>
        </w:rPr>
        <w:t xml:space="preserve">Binding exclusions applied</w:t>
      </w:r>
    </w:p>
    <w:p>
      <w:pPr>
        <w:spacing w:after="120"/>
      </w:pPr>
      <w:r>
        <w:rPr>
          <w:rFonts w:ascii="Roboto" w:cs="Roboto" w:eastAsia="Roboto" w:hAnsi="Roboto"/>
          <w:b w:val="false"/>
          <w:bCs w:val="false"/>
          <w:color w:val="000000"/>
          <w:sz w:val="22"/>
          <w:szCs w:val="22"/>
        </w:rPr>
        <w:t xml:space="preserve">1 binding exclusion(s) applied. These are ingredients held out of the pod because the panel does not measure the data needed to confirm safety, or the panel data crossed a hard exclusion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429"/>
        <w:gridCol w:w="3610"/>
      </w:tblGrid>
      <w:tr>
        <w:trPr>
          <w:tblHeader/>
        </w:trPr>
        <w:tc>
          <w:tcPr>
            <w:tcW w:type="dxa" w:w="1985"/>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Ingredient</w:t>
            </w:r>
          </w:p>
        </w:tc>
        <w:tc>
          <w:tcPr>
            <w:tcW w:type="dxa" w:w="3429"/>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Trigger</w:t>
            </w:r>
          </w:p>
        </w:tc>
        <w:tc>
          <w:tcPr>
            <w:tcW w:type="dxa" w:w="361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Practitioner Note</w:t>
            </w:r>
          </w:p>
        </w:tc>
      </w:tr>
      <w:tr>
        <w:tc>
          <w:tcPr>
            <w:tcW w:type="dxa" w:w="1985"/>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bCs/>
                <w:color w:val="000000"/>
                <w:sz w:val="20"/>
                <w:szCs w:val="20"/>
              </w:rPr>
              <w:t xml:space="preserve">—</w:t>
            </w:r>
          </w:p>
        </w:tc>
        <w:tc>
          <w:tcPr>
            <w:tcW w:type="dxa" w:w="3429"/>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w:t>
            </w:r>
          </w:p>
        </w:tc>
        <w:tc>
          <w:tcPr>
            <w:tcW w:type="dxa" w:w="361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Per the standard binding-exclusion floor, iodine doses above 150 mcg would require negative thyroid antibody confirmation. As the panel does not address this and no thyroid driver is active, iodine is excluded from the formulation entirely.</w:t>
            </w:r>
          </w:p>
        </w:tc>
      </w:tr>
    </w:tbl>
    <w:p>
      <w:pPr>
        <w:pBdr>
          <w:bottom w:val="single" w:color="C3AF88" w:sz="6" w:space="4"/>
        </w:pBdr>
        <w:spacing w:after="180" w:before="360"/>
      </w:pPr>
      <w:r>
        <w:rPr>
          <w:rFonts w:ascii="Roboto" w:cs="Roboto" w:eastAsia="Roboto" w:hAnsi="Roboto"/>
          <w:b/>
          <w:bCs/>
          <w:color w:val="535B50"/>
          <w:sz w:val="28"/>
          <w:szCs w:val="28"/>
        </w:rPr>
        <w:t xml:space="preserve">Section 6 — Monitoring and Follow-Up Considerations</w:t>
      </w:r>
    </w:p>
    <w:p>
      <w:pPr>
        <w:spacing w:after="120"/>
      </w:pPr>
      <w:r>
        <w:rPr>
          <w:rFonts w:ascii="Roboto" w:cs="Roboto" w:eastAsia="Roboto" w:hAnsi="Roboto"/>
          <w:b w:val="false"/>
          <w:bCs w:val="false"/>
          <w:color w:val="000000"/>
          <w:sz w:val="22"/>
          <w:szCs w:val="22"/>
        </w:rPr>
        <w:t xml:space="preserve">Re-testing of priority markers at a clinically appropriate interval determined by the treating practitioner may be considered to monitor response. Given the HPA-hypocortisolism pattern and oestrogen metabolism findings, urinary cortisol, oestrogen metabolites (particularly 2-OH Estrone and the 2:16 ratio), and symptom progression are the most informative monitoring points.</w:t>
      </w:r>
    </w:p>
    <w:p>
      <w:pPr>
        <w:spacing w:after="180" w:before="240"/>
      </w:pPr>
      <w:r>
        <w:rPr>
          <w:rFonts w:ascii="Roboto" w:cs="Roboto" w:eastAsia="Roboto" w:hAnsi="Roboto"/>
          <w:b/>
          <w:bCs/>
          <w:color w:val="535B50"/>
          <w:sz w:val="24"/>
          <w:szCs w:val="24"/>
        </w:rPr>
        <w:t xml:space="preserve">Markers for practitioner consideration at follow-up</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Total 24hr urinary cortisol — response to adaptogenic/B5 support</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2-OH Estrone and 2-OH(E1+E2)/16-OHE1 ratio — response to DIM and oestrogen metabolism support</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2-MeOH metabolites — response to methylation cofactor and DIM stack</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Estrogen Quotient E3/(E1+E2) — response to overall oestrogen metabolism support</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DHEA — concurrent HPA marker</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Clinical symptom score across HPA-related items (fatigue, sleep, stress tolerance)</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If long-term zinc supplementation continues, copper status</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25-OH vitamin D if not recently assessed</w:t>
      </w:r>
    </w:p>
    <w:p>
      <w:pPr>
        <w:spacing w:after="120" w:before="240"/>
      </w:pPr>
      <w:r>
        <w:rPr>
          <w:rFonts w:ascii="Roboto" w:cs="Roboto" w:eastAsia="Roboto" w:hAnsi="Roboto"/>
          <w:i/>
          <w:iCs/>
          <w:color w:val="666666"/>
          <w:sz w:val="20"/>
          <w:szCs w:val="20"/>
        </w:rPr>
        <w:t xml:space="preserve">Timing of any follow-up testing is for the treating practitioner to determine based on clinical response and patient context.</w:t>
      </w:r>
    </w:p>
    <w:p>
      <w:pPr>
        <w:pBdr>
          <w:bottom w:val="single" w:color="C3AF88" w:sz="6" w:space="4"/>
        </w:pBdr>
        <w:spacing w:after="180" w:before="360"/>
      </w:pPr>
      <w:r>
        <w:rPr>
          <w:rFonts w:ascii="Roboto" w:cs="Roboto" w:eastAsia="Roboto" w:hAnsi="Roboto"/>
          <w:b/>
          <w:bCs/>
          <w:color w:val="535B50"/>
          <w:sz w:val="28"/>
          <w:szCs w:val="28"/>
        </w:rPr>
        <w:t xml:space="preserve">Section 7 — Areas of Strength</w:t>
      </w:r>
    </w:p>
    <w:p>
      <w:pPr>
        <w:spacing w:after="120"/>
      </w:pPr>
      <w:r>
        <w:rPr>
          <w:rFonts w:ascii="Roboto" w:cs="Roboto" w:eastAsia="Roboto" w:hAnsi="Roboto"/>
          <w:b w:val="false"/>
          <w:bCs w:val="false"/>
          <w:color w:val="000000"/>
          <w:sz w:val="22"/>
          <w:szCs w:val="22"/>
        </w:rPr>
        <w:t xml:space="preserve">The following 5 finding(s) on this panel are within reference and are surfaced as areas of clinical strength to contextualise the abnormal findings above.</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Endocrine disruptor panel — BPA, PFAS, PFOA, PFOS and heavy metals (Al, As, Cd, Cr, Pb, Hg, Ni) all below or near detection limits within reference, indicating no environmental exposure burden identified on this panel.</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4-OH Estradiol below detection and 4-OH Estrone at lower reference limit — pattern consistent with low genotoxic catechol oestrogen output per laboratory framework.</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Elevated 4-MeOH E2/4-OH E2 ratio (4.39) — pattern consistent with active methylation of the 4-OH branch per laboratory comment.</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Testosterone, DHEA-S, and Pregnanediol within laboratory reference ranges.</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Absolute Estradiol, Estrone, and Estriol values each individually within the laboratory reference range — the oestrogen quotient finding reflects relative balance rather than absolute deficit or excess.</w:t>
      </w:r>
    </w:p>
    <w:p>
      <w:pPr>
        <w:pBdr>
          <w:bottom w:val="single" w:color="C3AF88" w:sz="6" w:space="4"/>
        </w:pBdr>
        <w:spacing w:after="180" w:before="360"/>
      </w:pPr>
      <w:r>
        <w:rPr>
          <w:rFonts w:ascii="Roboto" w:cs="Roboto" w:eastAsia="Roboto" w:hAnsi="Roboto"/>
          <w:b/>
          <w:bCs/>
          <w:color w:val="535B50"/>
          <w:sz w:val="28"/>
          <w:szCs w:val="28"/>
        </w:rPr>
        <w:t xml:space="preserve">References</w:t>
      </w:r>
    </w:p>
    <w:p>
      <w:pPr>
        <w:spacing w:after="240"/>
      </w:pPr>
      <w:r>
        <w:rPr>
          <w:rFonts w:ascii="Roboto" w:cs="Roboto" w:eastAsia="Roboto" w:hAnsi="Roboto"/>
          <w:b w:val="false"/>
          <w:bCs w:val="false"/>
          <w:color w:val="000000"/>
          <w:sz w:val="22"/>
          <w:szCs w:val="22"/>
        </w:rPr>
        <w:t xml:space="preserve">Key published studies cited by the clinical decision support system in support of each formulation decision. Citations should be independently verified by the reviewing practitioner before clinical reliance. PMIDs and DOIs can be confirmed via PubMed (pubmed.ncbi.nlm.nih.gov).</w:t>
      </w:r>
    </w:p>
    <w:p>
      <w:pPr>
        <w:spacing w:after="120"/>
      </w:pPr>
      <w:r>
        <w:rPr>
          <w:rFonts w:ascii="Roboto" w:cs="Roboto" w:eastAsia="Roboto" w:hAnsi="Roboto"/>
          <w:b/>
          <w:bCs/>
          <w:color w:val="C3AF88"/>
          <w:sz w:val="22"/>
          <w:szCs w:val="22"/>
        </w:rPr>
        <w:t xml:space="preserve">[1]</w:t>
      </w:r>
      <w:r>
        <w:rPr>
          <w:rFonts w:ascii="Roboto" w:cs="Roboto" w:eastAsia="Roboto" w:hAnsi="Roboto"/>
          <w:color w:val="000000"/>
          <w:sz w:val="22"/>
          <w:szCs w:val="22"/>
        </w:rPr>
        <w:t xml:space="preserve">  Dalessandri et al. (2004). Pilot study: effect of 3,3'-diindolylmethane supplements on urinary hormone metabolites in postmenopausal women with a history of early-stage breast cancer. Nutrition and Cancer.</w:t>
      </w:r>
      <w:r>
        <w:rPr>
          <w:rFonts w:ascii="Roboto" w:cs="Roboto" w:eastAsia="Roboto" w:hAnsi="Roboto"/>
          <w:i/>
          <w:iCs/>
          <w:color w:val="000000"/>
          <w:sz w:val="18"/>
          <w:szCs w:val="18"/>
        </w:rPr>
        <w:t xml:space="preserve">  (DIM (3,3'-diindolylmethane))</w:t>
      </w:r>
    </w:p>
    <w:p>
      <w:pPr>
        <w:spacing w:after="120"/>
      </w:pPr>
      <w:r>
        <w:rPr>
          <w:rFonts w:ascii="Roboto" w:cs="Roboto" w:eastAsia="Roboto" w:hAnsi="Roboto"/>
          <w:b/>
          <w:bCs/>
          <w:color w:val="C3AF88"/>
          <w:sz w:val="22"/>
          <w:szCs w:val="22"/>
        </w:rPr>
        <w:t xml:space="preserve">[2]</w:t>
      </w:r>
      <w:r>
        <w:rPr>
          <w:rFonts w:ascii="Roboto" w:cs="Roboto" w:eastAsia="Roboto" w:hAnsi="Roboto"/>
          <w:color w:val="000000"/>
          <w:sz w:val="22"/>
          <w:szCs w:val="22"/>
        </w:rPr>
        <w:t xml:space="preserve">  Walaszek et al. (1990). Dietary glucarate-mediated reduction of sensitivity of murine strains to chemical carcinogenesis. Cancer Letters.</w:t>
      </w:r>
      <w:r>
        <w:rPr>
          <w:rFonts w:ascii="Roboto" w:cs="Roboto" w:eastAsia="Roboto" w:hAnsi="Roboto"/>
          <w:i/>
          <w:iCs/>
          <w:color w:val="000000"/>
          <w:sz w:val="18"/>
          <w:szCs w:val="18"/>
        </w:rPr>
        <w:t xml:space="preserve">  (Calcium D-glucarate)</w:t>
      </w:r>
    </w:p>
    <w:p>
      <w:pPr>
        <w:spacing w:after="120"/>
      </w:pPr>
      <w:r>
        <w:rPr>
          <w:rFonts w:ascii="Roboto" w:cs="Roboto" w:eastAsia="Roboto" w:hAnsi="Roboto"/>
          <w:b/>
          <w:bCs/>
          <w:color w:val="C3AF88"/>
          <w:sz w:val="22"/>
          <w:szCs w:val="22"/>
        </w:rPr>
        <w:t xml:space="preserve">[3]</w:t>
      </w:r>
      <w:r>
        <w:rPr>
          <w:rFonts w:ascii="Roboto" w:cs="Roboto" w:eastAsia="Roboto" w:hAnsi="Roboto"/>
          <w:color w:val="000000"/>
          <w:sz w:val="22"/>
          <w:szCs w:val="22"/>
        </w:rPr>
        <w:t xml:space="preserve">  Abenavoli et al. (2018). Milk thistle (Silybum marianum): A concise overview on its chemistry, pharmacological, and nutraceutical uses in liver diseases. Phytotherapy Research.</w:t>
      </w:r>
      <w:r>
        <w:rPr>
          <w:rFonts w:ascii="Roboto" w:cs="Roboto" w:eastAsia="Roboto" w:hAnsi="Roboto"/>
          <w:i/>
          <w:iCs/>
          <w:color w:val="000000"/>
          <w:sz w:val="18"/>
          <w:szCs w:val="18"/>
        </w:rPr>
        <w:t xml:space="preserve">  (Milk thistle (silymarin))</w:t>
      </w:r>
    </w:p>
    <w:p>
      <w:pPr>
        <w:spacing w:after="120"/>
      </w:pPr>
      <w:r>
        <w:rPr>
          <w:rFonts w:ascii="Roboto" w:cs="Roboto" w:eastAsia="Roboto" w:hAnsi="Roboto"/>
          <w:b/>
          <w:bCs/>
          <w:color w:val="C3AF88"/>
          <w:sz w:val="22"/>
          <w:szCs w:val="22"/>
        </w:rPr>
        <w:t xml:space="preserve">[4]</w:t>
      </w:r>
      <w:r>
        <w:rPr>
          <w:rFonts w:ascii="Roboto" w:cs="Roboto" w:eastAsia="Roboto" w:hAnsi="Roboto"/>
          <w:color w:val="000000"/>
          <w:sz w:val="22"/>
          <w:szCs w:val="22"/>
        </w:rPr>
        <w:t xml:space="preserve">  Chow et al. (2010). Resveratrol modulates drug- and carcinogen-metabolizing enzymes in a healthy volunteer study. Cancer Prevention Research.</w:t>
      </w:r>
      <w:r>
        <w:rPr>
          <w:rFonts w:ascii="Roboto" w:cs="Roboto" w:eastAsia="Roboto" w:hAnsi="Roboto"/>
          <w:i/>
          <w:iCs/>
          <w:color w:val="000000"/>
          <w:sz w:val="18"/>
          <w:szCs w:val="18"/>
        </w:rPr>
        <w:t xml:space="preserve">  (Resveratrol)</w:t>
      </w:r>
    </w:p>
    <w:p>
      <w:pPr>
        <w:spacing w:after="120"/>
      </w:pPr>
      <w:r>
        <w:rPr>
          <w:rFonts w:ascii="Roboto" w:cs="Roboto" w:eastAsia="Roboto" w:hAnsi="Roboto"/>
          <w:b/>
          <w:bCs/>
          <w:color w:val="C3AF88"/>
          <w:sz w:val="22"/>
          <w:szCs w:val="22"/>
        </w:rPr>
        <w:t xml:space="preserve">[5]</w:t>
      </w:r>
      <w:r>
        <w:rPr>
          <w:rFonts w:ascii="Roboto" w:cs="Roboto" w:eastAsia="Roboto" w:hAnsi="Roboto"/>
          <w:color w:val="000000"/>
          <w:sz w:val="22"/>
          <w:szCs w:val="22"/>
        </w:rPr>
        <w:t xml:space="preserve">  Chandrasekhar et al. (2012). A prospective, randomized double-blind, placebo-controlled study of safety and efficacy of a high-concentration full-spectrum extract of ashwagandha root in reducing stress and anxiety in adults. Indian Journal of Psychological Medicine.</w:t>
      </w:r>
      <w:r>
        <w:rPr>
          <w:rFonts w:ascii="Roboto" w:cs="Roboto" w:eastAsia="Roboto" w:hAnsi="Roboto"/>
          <w:i/>
          <w:iCs/>
          <w:color w:val="000000"/>
          <w:sz w:val="18"/>
          <w:szCs w:val="18"/>
        </w:rPr>
        <w:t xml:space="preserve">  (Ashwagandha)</w:t>
      </w:r>
    </w:p>
    <w:p>
      <w:pPr>
        <w:spacing w:after="120"/>
      </w:pPr>
      <w:r>
        <w:rPr>
          <w:rFonts w:ascii="Roboto" w:cs="Roboto" w:eastAsia="Roboto" w:hAnsi="Roboto"/>
          <w:b/>
          <w:bCs/>
          <w:color w:val="C3AF88"/>
          <w:sz w:val="22"/>
          <w:szCs w:val="22"/>
        </w:rPr>
        <w:t xml:space="preserve">[6]</w:t>
      </w:r>
      <w:r>
        <w:rPr>
          <w:rFonts w:ascii="Roboto" w:cs="Roboto" w:eastAsia="Roboto" w:hAnsi="Roboto"/>
          <w:color w:val="000000"/>
          <w:sz w:val="22"/>
          <w:szCs w:val="22"/>
        </w:rPr>
        <w:t xml:space="preserve">  Olsson et al. (2009). A randomised, double-blind, placebo-controlled, parallel-group study of the standardised extract SHR-5 of the roots of Rhodiola rosea in the treatment of subjects with stress-related fatigue. Planta Medica.</w:t>
      </w:r>
      <w:r>
        <w:rPr>
          <w:rFonts w:ascii="Roboto" w:cs="Roboto" w:eastAsia="Roboto" w:hAnsi="Roboto"/>
          <w:i/>
          <w:iCs/>
          <w:color w:val="000000"/>
          <w:sz w:val="18"/>
          <w:szCs w:val="18"/>
        </w:rPr>
        <w:t xml:space="preserve">  (Rhodiola)</w:t>
      </w:r>
    </w:p>
    <w:p>
      <w:pPr>
        <w:spacing w:after="120"/>
      </w:pPr>
      <w:r>
        <w:rPr>
          <w:rFonts w:ascii="Roboto" w:cs="Roboto" w:eastAsia="Roboto" w:hAnsi="Roboto"/>
          <w:b/>
          <w:bCs/>
          <w:color w:val="C3AF88"/>
          <w:sz w:val="22"/>
          <w:szCs w:val="22"/>
        </w:rPr>
        <w:t xml:space="preserve">[7]</w:t>
      </w:r>
      <w:r>
        <w:rPr>
          <w:rFonts w:ascii="Roboto" w:cs="Roboto" w:eastAsia="Roboto" w:hAnsi="Roboto"/>
          <w:color w:val="000000"/>
          <w:sz w:val="22"/>
          <w:szCs w:val="22"/>
        </w:rPr>
        <w:t xml:space="preserve">  Scholey et al. (2010). Effects of American ginseng (Panax quinquefolius) on neurocognitive function: an acute, randomised, double-blind, placebo-controlled, crossover study. Psychopharmacology.</w:t>
      </w:r>
      <w:r>
        <w:rPr>
          <w:rFonts w:ascii="Roboto" w:cs="Roboto" w:eastAsia="Roboto" w:hAnsi="Roboto"/>
          <w:i/>
          <w:iCs/>
          <w:color w:val="000000"/>
          <w:sz w:val="18"/>
          <w:szCs w:val="18"/>
        </w:rPr>
        <w:t xml:space="preserve">  (American ginseng (Panax quinquefolius))</w:t>
      </w:r>
    </w:p>
    <w:p>
      <w:pPr>
        <w:spacing w:after="120"/>
      </w:pPr>
      <w:r>
        <w:rPr>
          <w:rFonts w:ascii="Roboto" w:cs="Roboto" w:eastAsia="Roboto" w:hAnsi="Roboto"/>
          <w:b/>
          <w:bCs/>
          <w:color w:val="C3AF88"/>
          <w:sz w:val="22"/>
          <w:szCs w:val="22"/>
        </w:rPr>
        <w:t xml:space="preserve">[8]</w:t>
      </w:r>
      <w:r>
        <w:rPr>
          <w:rFonts w:ascii="Roboto" w:cs="Roboto" w:eastAsia="Roboto" w:hAnsi="Roboto"/>
          <w:color w:val="000000"/>
          <w:sz w:val="22"/>
          <w:szCs w:val="22"/>
        </w:rPr>
        <w:t xml:space="preserve">  Mizuno et al. (2008). Antifatigue effects of coenzyme Q10 during physical fatigue. Nutrition.</w:t>
      </w:r>
      <w:r>
        <w:rPr>
          <w:rFonts w:ascii="Roboto" w:cs="Roboto" w:eastAsia="Roboto" w:hAnsi="Roboto"/>
          <w:i/>
          <w:iCs/>
          <w:color w:val="000000"/>
          <w:sz w:val="18"/>
          <w:szCs w:val="18"/>
        </w:rPr>
        <w:t xml:space="preserve">  (Coenzyme Q10)</w:t>
      </w:r>
    </w:p>
    <w:p>
      <w:pPr>
        <w:spacing w:after="120"/>
      </w:pPr>
      <w:r>
        <w:rPr>
          <w:rFonts w:ascii="Roboto" w:cs="Roboto" w:eastAsia="Roboto" w:hAnsi="Roboto"/>
          <w:b/>
          <w:bCs/>
          <w:color w:val="C3AF88"/>
          <w:sz w:val="22"/>
          <w:szCs w:val="22"/>
        </w:rPr>
        <w:t xml:space="preserve">[9]</w:t>
      </w:r>
      <w:r>
        <w:rPr>
          <w:rFonts w:ascii="Roboto" w:cs="Roboto" w:eastAsia="Roboto" w:hAnsi="Roboto"/>
          <w:color w:val="000000"/>
          <w:sz w:val="22"/>
          <w:szCs w:val="22"/>
        </w:rPr>
        <w:t xml:space="preserve">  Paul &amp; Brady (2017). Comparative bioavailability and utilization of particular forms of B12 supplements with potential to mitigate B12-related genetic polymorphisms. Integrative Medicine.</w:t>
      </w:r>
      <w:r>
        <w:rPr>
          <w:rFonts w:ascii="Roboto" w:cs="Roboto" w:eastAsia="Roboto" w:hAnsi="Roboto"/>
          <w:i/>
          <w:iCs/>
          <w:color w:val="000000"/>
          <w:sz w:val="18"/>
          <w:szCs w:val="18"/>
        </w:rPr>
        <w:t xml:space="preserve">  (Vitamin B12 (methylcobalamin))</w:t>
      </w:r>
    </w:p>
    <w:p>
      <w:pPr>
        <w:spacing w:after="120"/>
      </w:pPr>
      <w:r>
        <w:rPr>
          <w:rFonts w:ascii="Roboto" w:cs="Roboto" w:eastAsia="Roboto" w:hAnsi="Roboto"/>
          <w:b/>
          <w:bCs/>
          <w:color w:val="C3AF88"/>
          <w:sz w:val="22"/>
          <w:szCs w:val="22"/>
        </w:rPr>
        <w:t xml:space="preserve">[10]</w:t>
      </w:r>
      <w:r>
        <w:rPr>
          <w:rFonts w:ascii="Roboto" w:cs="Roboto" w:eastAsia="Roboto" w:hAnsi="Roboto"/>
          <w:color w:val="000000"/>
          <w:sz w:val="22"/>
          <w:szCs w:val="22"/>
        </w:rPr>
        <w:t xml:space="preserve">  Xu et al. (2007). Plasma folate, vitamin B12, and one-carbon metabolism nutrients and risk of breast cancer in women. American Journal of Clinical Nutrition.</w:t>
      </w:r>
      <w:r>
        <w:rPr>
          <w:rFonts w:ascii="Roboto" w:cs="Roboto" w:eastAsia="Roboto" w:hAnsi="Roboto"/>
          <w:i/>
          <w:iCs/>
          <w:color w:val="000000"/>
          <w:sz w:val="18"/>
          <w:szCs w:val="18"/>
        </w:rPr>
        <w:t xml:space="preserve">  (Folate (as calcium folinate))</w:t>
      </w:r>
    </w:p>
    <w:p>
      <w:pPr>
        <w:spacing w:after="120"/>
      </w:pPr>
      <w:r>
        <w:rPr>
          <w:rFonts w:ascii="Roboto" w:cs="Roboto" w:eastAsia="Roboto" w:hAnsi="Roboto"/>
          <w:b/>
          <w:bCs/>
          <w:color w:val="C3AF88"/>
          <w:sz w:val="22"/>
          <w:szCs w:val="22"/>
        </w:rPr>
        <w:t xml:space="preserve">[11]</w:t>
      </w:r>
      <w:r>
        <w:rPr>
          <w:rFonts w:ascii="Roboto" w:cs="Roboto" w:eastAsia="Roboto" w:hAnsi="Roboto"/>
          <w:color w:val="000000"/>
          <w:sz w:val="22"/>
          <w:szCs w:val="22"/>
        </w:rPr>
        <w:t xml:space="preserve">  Wu et al. (1999). Plasma pyridoxal 5'-phosphate is reduced in premenopausal women undergoing chemotherapy and influences one-carbon metabolism. Journal of Nutrition.</w:t>
      </w:r>
      <w:r>
        <w:rPr>
          <w:rFonts w:ascii="Roboto" w:cs="Roboto" w:eastAsia="Roboto" w:hAnsi="Roboto"/>
          <w:i/>
          <w:iCs/>
          <w:color w:val="000000"/>
          <w:sz w:val="18"/>
          <w:szCs w:val="18"/>
        </w:rPr>
        <w:t xml:space="preserve">  (Vitamin B6 (P5P))</w:t>
      </w:r>
    </w:p>
    <w:p>
      <w:pPr>
        <w:spacing w:after="120"/>
      </w:pPr>
      <w:r>
        <w:rPr>
          <w:rFonts w:ascii="Roboto" w:cs="Roboto" w:eastAsia="Roboto" w:hAnsi="Roboto"/>
          <w:b/>
          <w:bCs/>
          <w:color w:val="C3AF88"/>
          <w:sz w:val="22"/>
          <w:szCs w:val="22"/>
        </w:rPr>
        <w:t xml:space="preserve">[12]</w:t>
      </w:r>
      <w:r>
        <w:rPr>
          <w:rFonts w:ascii="Roboto" w:cs="Roboto" w:eastAsia="Roboto" w:hAnsi="Roboto"/>
          <w:color w:val="000000"/>
          <w:sz w:val="22"/>
          <w:szCs w:val="22"/>
        </w:rPr>
        <w:t xml:space="preserve">  McNulty et al. (2017). Riboflavin, MTHFR genotype and blood pressure: A personalized approach to prevention and treatment of hypertension. Molecular Aspects of Medicine.</w:t>
      </w:r>
      <w:r>
        <w:rPr>
          <w:rFonts w:ascii="Roboto" w:cs="Roboto" w:eastAsia="Roboto" w:hAnsi="Roboto"/>
          <w:i/>
          <w:iCs/>
          <w:color w:val="000000"/>
          <w:sz w:val="18"/>
          <w:szCs w:val="18"/>
        </w:rPr>
        <w:t xml:space="preserve">  (Riboflavin (B2))</w:t>
      </w:r>
    </w:p>
    <w:p>
      <w:pPr>
        <w:spacing w:after="120"/>
      </w:pPr>
      <w:r>
        <w:rPr>
          <w:rFonts w:ascii="Roboto" w:cs="Roboto" w:eastAsia="Roboto" w:hAnsi="Roboto"/>
          <w:b/>
          <w:bCs/>
          <w:color w:val="C3AF88"/>
          <w:sz w:val="22"/>
          <w:szCs w:val="22"/>
        </w:rPr>
        <w:t xml:space="preserve">[13]</w:t>
      </w:r>
      <w:r>
        <w:rPr>
          <w:rFonts w:ascii="Roboto" w:cs="Roboto" w:eastAsia="Roboto" w:hAnsi="Roboto"/>
          <w:color w:val="000000"/>
          <w:sz w:val="22"/>
          <w:szCs w:val="22"/>
        </w:rPr>
        <w:t xml:space="preserve">  Jaroenporn et al. (2008). Effects of pantothenic acid supplementation on adrenal steroid secretion from male rats. Biological &amp; Pharmaceutical Bulletin.</w:t>
      </w:r>
      <w:r>
        <w:rPr>
          <w:rFonts w:ascii="Roboto" w:cs="Roboto" w:eastAsia="Roboto" w:hAnsi="Roboto"/>
          <w:i/>
          <w:iCs/>
          <w:color w:val="000000"/>
          <w:sz w:val="18"/>
          <w:szCs w:val="18"/>
        </w:rPr>
        <w:t xml:space="preserve">  (Pantothenic acid (B5))</w:t>
      </w:r>
    </w:p>
    <w:p>
      <w:pPr>
        <w:spacing w:after="120"/>
      </w:pPr>
      <w:r>
        <w:rPr>
          <w:rFonts w:ascii="Roboto" w:cs="Roboto" w:eastAsia="Roboto" w:hAnsi="Roboto"/>
          <w:b/>
          <w:bCs/>
          <w:color w:val="C3AF88"/>
          <w:sz w:val="22"/>
          <w:szCs w:val="22"/>
        </w:rPr>
        <w:t xml:space="preserve">[14]</w:t>
      </w:r>
      <w:r>
        <w:rPr>
          <w:rFonts w:ascii="Roboto" w:cs="Roboto" w:eastAsia="Roboto" w:hAnsi="Roboto"/>
          <w:color w:val="000000"/>
          <w:sz w:val="22"/>
          <w:szCs w:val="22"/>
        </w:rPr>
        <w:t xml:space="preserve">  Kennedy (2016). B vitamins and the brain: Mechanisms, dose and efficacy—a review. Nutrients.</w:t>
      </w:r>
      <w:r>
        <w:rPr>
          <w:rFonts w:ascii="Roboto" w:cs="Roboto" w:eastAsia="Roboto" w:hAnsi="Roboto"/>
          <w:i/>
          <w:iCs/>
          <w:color w:val="000000"/>
          <w:sz w:val="18"/>
          <w:szCs w:val="18"/>
        </w:rPr>
        <w:t xml:space="preserve">  (Nicotinamide (B3))</w:t>
      </w:r>
    </w:p>
    <w:p>
      <w:pPr>
        <w:spacing w:after="120"/>
      </w:pPr>
      <w:r>
        <w:rPr>
          <w:rFonts w:ascii="Roboto" w:cs="Roboto" w:eastAsia="Roboto" w:hAnsi="Roboto"/>
          <w:b/>
          <w:bCs/>
          <w:color w:val="C3AF88"/>
          <w:sz w:val="22"/>
          <w:szCs w:val="22"/>
        </w:rPr>
        <w:t xml:space="preserve">[15]</w:t>
      </w:r>
      <w:r>
        <w:rPr>
          <w:rFonts w:ascii="Roboto" w:cs="Roboto" w:eastAsia="Roboto" w:hAnsi="Roboto"/>
          <w:color w:val="000000"/>
          <w:sz w:val="22"/>
          <w:szCs w:val="22"/>
        </w:rPr>
        <w:t xml:space="preserve">  Boyle et al. (2017). The effects of magnesium supplementation on subjective anxiety and stress—A systematic review. Nutrients.</w:t>
      </w:r>
      <w:r>
        <w:rPr>
          <w:rFonts w:ascii="Roboto" w:cs="Roboto" w:eastAsia="Roboto" w:hAnsi="Roboto"/>
          <w:i/>
          <w:iCs/>
          <w:color w:val="000000"/>
          <w:sz w:val="18"/>
          <w:szCs w:val="18"/>
        </w:rPr>
        <w:t xml:space="preserve">  (Magnesium glycinate)</w:t>
      </w:r>
    </w:p>
    <w:p>
      <w:pPr>
        <w:spacing w:after="120"/>
      </w:pPr>
      <w:r>
        <w:rPr>
          <w:rFonts w:ascii="Roboto" w:cs="Roboto" w:eastAsia="Roboto" w:hAnsi="Roboto"/>
          <w:b/>
          <w:bCs/>
          <w:color w:val="C3AF88"/>
          <w:sz w:val="22"/>
          <w:szCs w:val="22"/>
        </w:rPr>
        <w:t xml:space="preserve">[16]</w:t>
      </w:r>
      <w:r>
        <w:rPr>
          <w:rFonts w:ascii="Roboto" w:cs="Roboto" w:eastAsia="Roboto" w:hAnsi="Roboto"/>
          <w:color w:val="000000"/>
          <w:sz w:val="22"/>
          <w:szCs w:val="22"/>
        </w:rPr>
        <w:t xml:space="preserve">  Prasad et al. (1996). Zinc status and serum testosterone levels of healthy adults. Nutrition.</w:t>
      </w:r>
      <w:r>
        <w:rPr>
          <w:rFonts w:ascii="Roboto" w:cs="Roboto" w:eastAsia="Roboto" w:hAnsi="Roboto"/>
          <w:i/>
          <w:iCs/>
          <w:color w:val="000000"/>
          <w:sz w:val="18"/>
          <w:szCs w:val="18"/>
        </w:rPr>
        <w:t xml:space="preserve">  (Zinc citrate)</w:t>
      </w:r>
    </w:p>
    <w:p>
      <w:pPr>
        <w:spacing w:after="120"/>
      </w:pPr>
      <w:r>
        <w:rPr>
          <w:rFonts w:ascii="Roboto" w:cs="Roboto" w:eastAsia="Roboto" w:hAnsi="Roboto"/>
          <w:b/>
          <w:bCs/>
          <w:color w:val="C3AF88"/>
          <w:sz w:val="22"/>
          <w:szCs w:val="22"/>
        </w:rPr>
        <w:t xml:space="preserve">[17]</w:t>
      </w:r>
      <w:r>
        <w:rPr>
          <w:rFonts w:ascii="Roboto" w:cs="Roboto" w:eastAsia="Roboto" w:hAnsi="Roboto"/>
          <w:color w:val="000000"/>
          <w:sz w:val="22"/>
          <w:szCs w:val="22"/>
        </w:rPr>
        <w:t xml:space="preserve">  Cavalieri &amp; Rogan (2016). Depurinating estrogen-DNA adducts, generators of cancer initiation: their minimization leads to cancer prevention. Clinical and Translational Medicine.</w:t>
      </w:r>
      <w:r>
        <w:rPr>
          <w:rFonts w:ascii="Roboto" w:cs="Roboto" w:eastAsia="Roboto" w:hAnsi="Roboto"/>
          <w:i/>
          <w:iCs/>
          <w:color w:val="000000"/>
          <w:sz w:val="18"/>
          <w:szCs w:val="18"/>
        </w:rPr>
        <w:t xml:space="preserve">  (N-acetyl cysteine (NAC))</w:t>
      </w:r>
    </w:p>
    <w:p>
      <w:pPr>
        <w:spacing w:after="120"/>
      </w:pPr>
      <w:r>
        <w:rPr>
          <w:rFonts w:ascii="Roboto" w:cs="Roboto" w:eastAsia="Roboto" w:hAnsi="Roboto"/>
          <w:b/>
          <w:bCs/>
          <w:color w:val="C3AF88"/>
          <w:sz w:val="22"/>
          <w:szCs w:val="22"/>
        </w:rPr>
        <w:t xml:space="preserve">[18]</w:t>
      </w:r>
      <w:r>
        <w:rPr>
          <w:rFonts w:ascii="Roboto" w:cs="Roboto" w:eastAsia="Roboto" w:hAnsi="Roboto"/>
          <w:color w:val="000000"/>
          <w:sz w:val="22"/>
          <w:szCs w:val="22"/>
        </w:rPr>
        <w:t xml:space="preserve">  Zhu &amp; Liehr (1994). Quercetin increases the severity of estradiol-induced tumorigenesis in hamster kidney. Toxicology and Applied Pharmacology.</w:t>
      </w:r>
      <w:r>
        <w:rPr>
          <w:rFonts w:ascii="Roboto" w:cs="Roboto" w:eastAsia="Roboto" w:hAnsi="Roboto"/>
          <w:i/>
          <w:iCs/>
          <w:color w:val="000000"/>
          <w:sz w:val="18"/>
          <w:szCs w:val="18"/>
        </w:rPr>
        <w:t xml:space="preserve">  (Quercetin)</w:t>
      </w:r>
    </w:p>
    <w:p>
      <w:pPr>
        <w:spacing w:after="120"/>
      </w:pPr>
      <w:r>
        <w:rPr>
          <w:rFonts w:ascii="Roboto" w:cs="Roboto" w:eastAsia="Roboto" w:hAnsi="Roboto"/>
          <w:b/>
          <w:bCs/>
          <w:color w:val="C3AF88"/>
          <w:sz w:val="22"/>
          <w:szCs w:val="22"/>
        </w:rPr>
        <w:t xml:space="preserve">[19]</w:t>
      </w:r>
      <w:r>
        <w:rPr>
          <w:rFonts w:ascii="Roboto" w:cs="Roboto" w:eastAsia="Roboto" w:hAnsi="Roboto"/>
          <w:color w:val="000000"/>
          <w:sz w:val="22"/>
          <w:szCs w:val="22"/>
        </w:rPr>
        <w:t xml:space="preserve">  Peters et al. (2001). Vitamin C supplementation attenuates the increases in circulating cortisol, adrenaline and anti-inflammatory polypeptides following ultramarathon running. International Journal of Sports Medicine.</w:t>
      </w:r>
      <w:r>
        <w:rPr>
          <w:rFonts w:ascii="Roboto" w:cs="Roboto" w:eastAsia="Roboto" w:hAnsi="Roboto"/>
          <w:i/>
          <w:iCs/>
          <w:color w:val="000000"/>
          <w:sz w:val="18"/>
          <w:szCs w:val="18"/>
        </w:rPr>
        <w:t xml:space="preserve">  (Vitamin C (ascorbic acid))</w:t>
      </w:r>
    </w:p>
    <w:p>
      <w:pPr>
        <w:spacing w:after="120"/>
      </w:pPr>
      <w:r>
        <w:rPr>
          <w:rFonts w:ascii="Roboto" w:cs="Roboto" w:eastAsia="Roboto" w:hAnsi="Roboto"/>
          <w:b/>
          <w:bCs/>
          <w:color w:val="C3AF88"/>
          <w:sz w:val="22"/>
          <w:szCs w:val="22"/>
        </w:rPr>
        <w:t xml:space="preserve">[20]</w:t>
      </w:r>
      <w:r>
        <w:rPr>
          <w:rFonts w:ascii="Roboto" w:cs="Roboto" w:eastAsia="Roboto" w:hAnsi="Roboto"/>
          <w:color w:val="000000"/>
          <w:sz w:val="22"/>
          <w:szCs w:val="22"/>
        </w:rPr>
        <w:t xml:space="preserve">  Pilz et al. (2011). Effect of vitamin D supplementation on testosterone levels in men. Hormone and Metabolic Research.</w:t>
      </w:r>
      <w:r>
        <w:rPr>
          <w:rFonts w:ascii="Roboto" w:cs="Roboto" w:eastAsia="Roboto" w:hAnsi="Roboto"/>
          <w:i/>
          <w:iCs/>
          <w:color w:val="000000"/>
          <w:sz w:val="18"/>
          <w:szCs w:val="18"/>
        </w:rPr>
        <w:t xml:space="preserve">  (Vitamin D3 (cholecalciferol))</w:t>
      </w:r>
    </w:p>
    <w:p>
      <w:pPr>
        <w:pBdr>
          <w:top w:val="single" w:color="C3AF88" w:sz="6" w:space="4"/>
        </w:pBdr>
        <w:spacing w:after="120" w:before="360"/>
      </w:pPr>
      <w:r>
        <w:rPr>
          <w:rFonts w:ascii="Roboto" w:cs="Roboto" w:eastAsia="Roboto" w:hAnsi="Roboto"/>
          <w:b/>
          <w:bCs/>
          <w:i/>
          <w:iCs/>
          <w:color w:val="000000"/>
          <w:sz w:val="18"/>
          <w:szCs w:val="18"/>
        </w:rPr>
        <w:t xml:space="preserve">Patients should not act on the contents of this document without the direct guidance of their treating practitioner.</w:t>
      </w:r>
    </w:p>
    <w:p>
      <w:pPr>
        <w:spacing w:after="60"/>
      </w:pPr>
      <w:r>
        <w:rPr>
          <w:rFonts w:ascii="Roboto" w:cs="Roboto" w:eastAsia="Roboto" w:hAnsi="Roboto"/>
          <w:i/>
          <w:iCs/>
          <w:color w:val="666666"/>
          <w:sz w:val="18"/>
          <w:szCs w:val="18"/>
        </w:rPr>
        <w:t xml:space="preserve">Submission: SUB-2026-004  •  Generated: 31 May 2026, 8:58 am</w:t>
      </w:r>
    </w:p>
    <w:p>
      <w:pPr>
        <w:spacing w:after="60"/>
      </w:pPr>
      <w:r>
        <w:rPr>
          <w:rFonts w:ascii="Roboto" w:cs="Roboto" w:eastAsia="Roboto" w:hAnsi="Roboto"/>
          <w:i/>
          <w:iCs/>
          <w:color w:val="666666"/>
          <w:sz w:val="18"/>
          <w:szCs w:val="18"/>
        </w:rPr>
        <w:t xml:space="preserve">Audit Reference: 8DF4-6DB0-C571</w:t>
      </w:r>
    </w:p>
    <w:sectPr>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Roboto" w:cs="Roboto" w:eastAsia="Roboto" w:hAnsi="Roboto"/>
        <w:color w:val="666666"/>
        <w:sz w:val="16"/>
        <w:szCs w:val="16"/>
      </w:rPr>
      <w:t xml:space="preserve">N of 1 Precision Formulation  |  SUB-2026-004  |  DRAFT — Page </w:t>
    </w:r>
    <w:r>
      <w:rPr>
        <w:rFonts w:ascii="Roboto" w:cs="Roboto" w:eastAsia="Roboto" w:hAnsi="Roboto"/>
        <w:color w:val="666666"/>
        <w:sz w:val="16"/>
        <w:szCs w:val="16"/>
      </w:rPr>
      <w:fldChar w:fldCharType="begin"/>
      <w:instrText xml:space="preserve">PAGE</w:instrText>
      <w:fldChar w:fldCharType="separate"/>
      <w:fldChar w:fldCharType="end"/>
    </w:r>
    <w:r>
      <w:rPr>
        <w:rFonts w:ascii="Roboto" w:cs="Roboto" w:eastAsia="Roboto" w:hAnsi="Roboto"/>
        <w:color w:val="666666"/>
        <w:sz w:val="16"/>
        <w:szCs w:val="16"/>
      </w:rPr>
      <w:t xml:space="preserve"> of </w:t>
    </w:r>
    <w:r>
      <w:rPr>
        <w:rFonts w:ascii="Roboto" w:cs="Roboto" w:eastAsia="Roboto" w:hAnsi="Roboto"/>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2a66d48eaf0c05f3b2f313fea30ee617ddf5b3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2026-05-30T23:03:10.838Z</dcterms:created>
  <dcterms:modified xsi:type="dcterms:W3CDTF">2026-05-30T23:03:10.838Z</dcterms:modified>
</cp:coreProperties>
</file>

<file path=docProps/custom.xml><?xml version="1.0" encoding="utf-8"?>
<Properties xmlns="http://schemas.openxmlformats.org/officeDocument/2006/custom-properties" xmlns:vt="http://schemas.openxmlformats.org/officeDocument/2006/docPropsVTypes"/>
</file>