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drawing>
          <wp:inline distT="0" distB="0" distL="0" distR="0">
            <wp:extent cx="51435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962025"/>
                    </a:xfrm>
                    <a:prstGeom prst="rect">
                      <a:avLst/>
                    </a:prstGeom>
                  </pic:spPr>
                </pic:pic>
              </a:graphicData>
            </a:graphic>
          </wp:inline>
        </w:drawing>
      </w:r>
    </w:p>
    <w:p>
      <w:pPr>
        <w:spacing w:after="60"/>
      </w:pPr>
      <w:r>
        <w:rPr>
          <w:rFonts w:ascii="Roboto" w:cs="Roboto" w:eastAsia="Roboto" w:hAnsi="Roboto"/>
          <w:b/>
          <w:bCs/>
          <w:color w:val="535B50"/>
          <w:sz w:val="36"/>
          <w:szCs w:val="36"/>
        </w:rPr>
        <w:t xml:space="preserve">Health Analysis</w:t>
      </w:r>
    </w:p>
    <w:p>
      <w:pPr>
        <w:spacing w:after="240"/>
      </w:pPr>
      <w:r>
        <w:rPr>
          <w:rFonts w:ascii="Roboto" w:cs="Roboto" w:eastAsia="Roboto" w:hAnsi="Roboto"/>
          <w:i/>
          <w:iCs/>
          <w:color w:val="666666"/>
          <w:sz w:val="22"/>
          <w:szCs w:val="22"/>
        </w:rPr>
        <w:t xml:space="preserve">N of 1 Precision Formulation  •  Practitioner Decision Support</w:t>
      </w:r>
    </w:p>
    <w:p>
      <w:pPr>
        <w:pBdr>
          <w:top w:val="single" w:color="8B2A2A" w:sz="6" w:space="2"/>
          <w:bottom w:val="single" w:color="8B2A2A" w:sz="6" w:space="2"/>
        </w:pBdr>
        <w:spacing w:after="240" w:before="120"/>
        <w:jc w:val="center"/>
      </w:pPr>
      <w:r>
        <w:rPr>
          <w:rFonts w:ascii="Roboto" w:cs="Roboto" w:eastAsia="Roboto" w:hAnsi="Roboto"/>
          <w:b/>
          <w:bCs/>
          <w:color w:val="8B2A2A"/>
          <w:sz w:val="22"/>
          <w:szCs w:val="22"/>
        </w:rPr>
        <w:t xml:space="preserve">DRAFT — PENDING PRACTITIONER REVIEW AND APPROVAL</w:t>
      </w:r>
    </w:p>
    <w:p>
      <w:pPr>
        <w:spacing w:after="240"/>
      </w:pPr>
      <w:r>
        <w:rPr>
          <w:rFonts w:ascii="Roboto" w:cs="Roboto" w:eastAsia="Roboto" w:hAnsi="Roboto"/>
          <w:i/>
          <w:iCs/>
          <w:color w:val="000000"/>
          <w:sz w:val="18"/>
          <w:szCs w:val="18"/>
        </w:rPr>
        <w:t xml:space="preserve">This document is decision support for a qualified healthcare practitioner. It is not a diagnosis, not a prescription, and not directed to the patient. The reviewing practitioner is the prescribing clinician of record and exercises independent clinical judgement on every recommendation contained herein.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700"/>
        <w:gridCol w:w="1900"/>
      </w:tblGrid>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Patient Pseudonym</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PT-2026-006</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Age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44</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Sex (at birth)</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female</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Test Type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myDNA_Longevity</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Lab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PNR42Y46</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Collection Date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2026-04-07</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Practitioner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P001-NATUROPATH</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Practitioner Type</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naturopath</w:t>
            </w:r>
          </w:p>
        </w:tc>
      </w:tr>
      <w:tr>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Submission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SUB-2026-006</w:t>
            </w:r>
          </w:p>
        </w:tc>
        <w:tc>
          <w:tcPr>
            <w:tcW w:type="dxa" w:w="270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Generated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1 June 2026, 1:21 pm</w:t>
            </w:r>
          </w:p>
        </w:tc>
      </w:tr>
    </w:tbl>
    <w:p>
      <w:r>
        <w:t xml:space="preserve"/>
      </w:r>
    </w:p>
    <w:p>
      <w:pPr>
        <w:pBdr>
          <w:bottom w:val="single" w:color="C3AF88" w:sz="6" w:space="4"/>
        </w:pBdr>
        <w:spacing w:after="180" w:before="360"/>
      </w:pPr>
      <w:r>
        <w:rPr>
          <w:rFonts w:ascii="Roboto" w:cs="Roboto" w:eastAsia="Roboto" w:hAnsi="Roboto"/>
          <w:b/>
          <w:bCs/>
          <w:color w:val="535B50"/>
          <w:sz w:val="28"/>
          <w:szCs w:val="28"/>
        </w:rPr>
        <w:t xml:space="preserve">Section 1 — Executive Summary</w:t>
      </w:r>
    </w:p>
    <w:p>
      <w:pPr>
        <w:spacing w:after="240"/>
      </w:pPr>
      <w:r>
        <w:rPr>
          <w:rFonts w:ascii="Roboto" w:cs="Roboto" w:eastAsia="Roboto" w:hAnsi="Roboto"/>
          <w:b w:val="false"/>
          <w:bCs w:val="false"/>
          <w:color w:val="000000"/>
          <w:sz w:val="22"/>
          <w:szCs w:val="22"/>
        </w:rPr>
        <w:t xml:space="preserve">Genotype-driven longevity modifier formulation for a 44-year-old female with multiple HIGH-priority antioxidant, methylation cofactor, and mitochondrial genetic findings — requires integration with biomarker data for full clinical context.</w:t>
      </w:r>
    </w:p>
    <w:p>
      <w:pPr>
        <w:spacing w:after="180" w:before="240"/>
      </w:pPr>
      <w:r>
        <w:rPr>
          <w:rFonts w:ascii="Roboto" w:cs="Roboto" w:eastAsia="Roboto" w:hAnsi="Roboto"/>
          <w:b/>
          <w:bCs/>
          <w:color w:val="535B50"/>
          <w:sz w:val="24"/>
          <w:szCs w:val="24"/>
        </w:rPr>
        <w:t xml:space="preserve">Recognised clinical patterns</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Antioxidant-depleted genotype profile (GP-class)</w:t>
      </w:r>
    </w:p>
    <w:p>
      <w:pPr>
        <w:spacing w:after="120"/>
        <w:ind w:left="360"/>
      </w:pPr>
      <w:r>
        <w:rPr>
          <w:rFonts w:ascii="Roboto" w:cs="Roboto" w:eastAsia="Roboto" w:hAnsi="Roboto"/>
          <w:color w:val="666666"/>
          <w:sz w:val="20"/>
          <w:szCs w:val="20"/>
        </w:rPr>
        <w:t xml:space="preserve">Supporting findings: SOD2 HIGH PRIORITY (homozygous), GPX1 MEDIUM PRIORITY (heterozygous), GSTM1/GSTP1 combination MEDIUM PRIORITY</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Methylation-modifier genotype profile (GP-class)</w:t>
      </w:r>
    </w:p>
    <w:p>
      <w:pPr>
        <w:spacing w:after="120"/>
        <w:ind w:left="360"/>
      </w:pPr>
      <w:r>
        <w:rPr>
          <w:rFonts w:ascii="Roboto" w:cs="Roboto" w:eastAsia="Roboto" w:hAnsi="Roboto"/>
          <w:color w:val="666666"/>
          <w:sz w:val="20"/>
          <w:szCs w:val="20"/>
        </w:rPr>
        <w:t xml:space="preserve">Supporting findings: Choline/Betaine (PEMT) HIGH PRIORITY, MTHFR 677 heterozygous + MTHFR 1298 combination MEDIUM PRIORITY (folate), Riboflavin B2 MEDIUM PRIORITY (MTHFR 677 cofactor), COMT homozygous (magnesium cofactor)</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Mitochondrial-support genotype profile (GP-class)</w:t>
      </w:r>
    </w:p>
    <w:p>
      <w:pPr>
        <w:spacing w:after="120"/>
        <w:ind w:left="360"/>
      </w:pPr>
      <w:r>
        <w:rPr>
          <w:rFonts w:ascii="Roboto" w:cs="Roboto" w:eastAsia="Roboto" w:hAnsi="Roboto"/>
          <w:color w:val="666666"/>
          <w:sz w:val="20"/>
          <w:szCs w:val="20"/>
        </w:rPr>
        <w:t xml:space="preserve">Supporting findings: SOD2 HIGH PRIORITY (homozygous), FOXO3 GT (favourable, pathway-supportive)</w:t>
      </w:r>
    </w:p>
    <w:p>
      <w:pPr>
        <w:spacing w:after="60"/>
      </w:pPr>
      <w:r>
        <w:rPr>
          <w:rFonts w:ascii="Roboto" w:cs="Roboto" w:eastAsia="Roboto" w:hAnsi="Roboto"/>
          <w:b/>
          <w:bCs/>
          <w:color w:val="C3AF88"/>
          <w:sz w:val="22"/>
          <w:szCs w:val="22"/>
        </w:rPr>
        <w:t xml:space="preserve">• </w:t>
      </w:r>
      <w:r>
        <w:rPr>
          <w:rFonts w:ascii="Roboto" w:cs="Roboto" w:eastAsia="Roboto" w:hAnsi="Roboto"/>
          <w:b/>
          <w:bCs/>
          <w:color w:val="000000"/>
          <w:sz w:val="22"/>
          <w:szCs w:val="22"/>
        </w:rPr>
        <w:t xml:space="preserve">COMT homozygous catecholamine clearance profile (GP-class)</w:t>
      </w:r>
    </w:p>
    <w:p>
      <w:pPr>
        <w:spacing w:after="120"/>
        <w:ind w:left="360"/>
      </w:pPr>
      <w:r>
        <w:rPr>
          <w:rFonts w:ascii="Roboto" w:cs="Roboto" w:eastAsia="Roboto" w:hAnsi="Roboto"/>
          <w:color w:val="666666"/>
          <w:sz w:val="20"/>
          <w:szCs w:val="20"/>
        </w:rPr>
        <w:t xml:space="preserve">Supporting findings: COMT homozygous (magnesium HIGH PRIORITY)</w:t>
      </w:r>
    </w:p>
    <w:p>
      <w:pPr>
        <w:pBdr>
          <w:bottom w:val="single" w:color="C3AF88" w:sz="6" w:space="4"/>
        </w:pBdr>
        <w:spacing w:after="180" w:before="360"/>
      </w:pPr>
      <w:r>
        <w:rPr>
          <w:rFonts w:ascii="Roboto" w:cs="Roboto" w:eastAsia="Roboto" w:hAnsi="Roboto"/>
          <w:b/>
          <w:bCs/>
          <w:color w:val="535B50"/>
          <w:sz w:val="28"/>
          <w:szCs w:val="28"/>
        </w:rPr>
        <w:t xml:space="preserve">Section 2 — Detailed Biomarker Analysis</w:t>
      </w:r>
    </w:p>
    <w:p>
      <w:pPr>
        <w:spacing w:after="240"/>
      </w:pPr>
      <w:r>
        <w:rPr>
          <w:rFonts w:ascii="Roboto" w:cs="Roboto" w:eastAsia="Roboto" w:hAnsi="Roboto"/>
          <w:b w:val="false"/>
          <w:bCs w:val="false"/>
          <w:color w:val="000000"/>
          <w:sz w:val="22"/>
          <w:szCs w:val="22"/>
        </w:rPr>
        <w:t xml:space="preserve">The following 17 biomarker findings are surfaced for practitioner review. Each finding includes a hedged interpretation, possible contributors per the published literature, and the relevance of the finding to the formulation strategy.</w:t>
      </w:r>
    </w:p>
    <w:p>
      <w:pPr>
        <w:spacing w:after="60" w:before="120"/>
      </w:pPr>
      <w:r>
        <w:rPr>
          <w:rFonts w:ascii="Roboto" w:cs="Roboto" w:eastAsia="Roboto" w:hAnsi="Roboto"/>
          <w:b/>
          <w:bCs/>
          <w:color w:val="535B50"/>
          <w:sz w:val="22"/>
          <w:szCs w:val="22"/>
        </w:rPr>
        <w:t xml:space="preserve">APOE genotype</w:t>
      </w:r>
      <w:r>
        <w:rPr>
          <w:rFonts w:ascii="Roboto" w:cs="Roboto" w:eastAsia="Roboto" w:hAnsi="Roboto"/>
          <w:color w:val="000000"/>
          <w:sz w:val="22"/>
          <w:szCs w:val="22"/>
        </w:rPr>
        <w:t xml:space="preserve">   3/3</w:t>
      </w:r>
      <w:r>
        <w:rPr>
          <w:rFonts w:ascii="Roboto" w:cs="Roboto" w:eastAsia="Roboto" w:hAnsi="Roboto"/>
          <w:i/>
          <w:iCs/>
          <w:color w:val="666666"/>
          <w:sz w:val="20"/>
          <w:szCs w:val="20"/>
        </w:rPr>
        <w:t xml:space="preserve">   (ref: Lab framework: e3/e3 favourable)</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Per laboratory framework, e3/e3 is associated with exceptional cognitive longevity profile and responsiveness to Mediterranean dietary patterns. No e4 risk factor identified.</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Population-genetic studies link e3/e3 with neutral-to-favourable lipid and cognitive outcomes. Clinical interpretation remains the practitioner's.</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Supports general polyphenol/quercetin inclusion (e3 carriers reported as responsive to plant bioactives); does not drive an axis.</w:t>
      </w:r>
    </w:p>
    <w:p>
      <w:pPr>
        <w:spacing w:after="60" w:before="120"/>
      </w:pPr>
      <w:r>
        <w:rPr>
          <w:rFonts w:ascii="Roboto" w:cs="Roboto" w:eastAsia="Roboto" w:hAnsi="Roboto"/>
          <w:b/>
          <w:bCs/>
          <w:color w:val="535B50"/>
          <w:sz w:val="22"/>
          <w:szCs w:val="22"/>
        </w:rPr>
        <w:t xml:space="preserve">FOXO3 (rs2802292)</w:t>
      </w:r>
      <w:r>
        <w:rPr>
          <w:rFonts w:ascii="Roboto" w:cs="Roboto" w:eastAsia="Roboto" w:hAnsi="Roboto"/>
          <w:color w:val="000000"/>
          <w:sz w:val="22"/>
          <w:szCs w:val="22"/>
        </w:rPr>
        <w:t xml:space="preserve">   GT — Above average longevity probability</w:t>
      </w:r>
      <w:r>
        <w:rPr>
          <w:rFonts w:ascii="Roboto" w:cs="Roboto" w:eastAsia="Roboto" w:hAnsi="Roboto"/>
          <w:i/>
          <w:iCs/>
          <w:color w:val="666666"/>
          <w:sz w:val="20"/>
          <w:szCs w:val="20"/>
        </w:rPr>
        <w:t xml:space="preserve">   (ref: Lab framework: GG=exceptional, GT=above average, TT=reduced)</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GT carrier reported as having one copy of the favourable G-allele. Pathway-supportive polyphenols and mitochondrial cofactors may further amplify FOXO3 expression per published mechanism studies.</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Resveratrol, quercetin, curcumin, and polyphenol-rich dietary patterns have been studied for FOXO3 pathway modulation.</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Activates mitochondrial_cardiovascular and antioxidant_redox axes at supportive priority.</w:t>
      </w:r>
    </w:p>
    <w:p>
      <w:pPr>
        <w:spacing w:after="60" w:before="120"/>
      </w:pPr>
      <w:r>
        <w:rPr>
          <w:rFonts w:ascii="Roboto" w:cs="Roboto" w:eastAsia="Roboto" w:hAnsi="Roboto"/>
          <w:b/>
          <w:bCs/>
          <w:color w:val="535B50"/>
          <w:sz w:val="22"/>
          <w:szCs w:val="22"/>
        </w:rPr>
        <w:t xml:space="preserve">ACTN3 Exercise Programming</w:t>
      </w:r>
      <w:r>
        <w:rPr>
          <w:rFonts w:ascii="Roboto" w:cs="Roboto" w:eastAsia="Roboto" w:hAnsi="Roboto"/>
          <w:color w:val="000000"/>
          <w:sz w:val="22"/>
          <w:szCs w:val="22"/>
        </w:rPr>
        <w:t xml:space="preserve">   RR genotype</w:t>
      </w:r>
      <w:r>
        <w:rPr>
          <w:rFonts w:ascii="Roboto" w:cs="Roboto" w:eastAsia="Roboto" w:hAnsi="Roboto"/>
          <w:i/>
          <w:iCs/>
          <w:color w:val="666666"/>
          <w:sz w:val="20"/>
          <w:szCs w:val="20"/>
        </w:rPr>
        <w:t xml:space="preserve">   (ref: Lab framework: RR/RX/XX)</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Reported as more Type II fast-twitch fibres. Exercise programming guidance — does not drive a supplement axis.</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Lifestyle/exercise context only.</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Informational; influences diet/lifestyle considerations only.</w:t>
      </w:r>
    </w:p>
    <w:p>
      <w:pPr>
        <w:spacing w:after="60" w:before="120"/>
      </w:pPr>
      <w:r>
        <w:rPr>
          <w:rFonts w:ascii="Roboto" w:cs="Roboto" w:eastAsia="Roboto" w:hAnsi="Roboto"/>
          <w:b/>
          <w:bCs/>
          <w:color w:val="535B50"/>
          <w:sz w:val="22"/>
          <w:szCs w:val="22"/>
        </w:rPr>
        <w:t xml:space="preserve">Glutathione (GSTM1 / GSTP1 combination)</w:t>
      </w:r>
      <w:r>
        <w:rPr>
          <w:rFonts w:ascii="Roboto" w:cs="Roboto" w:eastAsia="Roboto" w:hAnsi="Roboto"/>
          <w:color w:val="000000"/>
          <w:sz w:val="22"/>
          <w:szCs w:val="22"/>
        </w:rPr>
        <w:t xml:space="preserve">   MEDIUM PRIORITY</w:t>
      </w:r>
      <w:r>
        <w:rPr>
          <w:rFonts w:ascii="Roboto" w:cs="Roboto" w:eastAsia="Roboto" w:hAnsi="Roboto"/>
          <w:i/>
          <w:iCs/>
          <w:color w:val="666666"/>
          <w:sz w:val="20"/>
          <w:szCs w:val="20"/>
        </w:rPr>
        <w:t xml:space="preserve">   (ref: Lab framework: average / medium / high priority)</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Reported genotype combination is associated with decreased baseline glutathione per laboratory framework. Indicates a possible benefit from glutathione precursor and Phase II support, in the absence of biomarker confirmation.</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NAC, glutathione, milk thistle, vitamin C, and selenium are commonly studied as supports for glutathione synthesis and Phase II conjugation.</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Activates heavy_metal_detox and antioxidant_redox axes as secondary priority (modifier-only).</w:t>
      </w:r>
    </w:p>
    <w:p>
      <w:pPr>
        <w:spacing w:after="60" w:before="120"/>
      </w:pPr>
      <w:r>
        <w:rPr>
          <w:rFonts w:ascii="Roboto" w:cs="Roboto" w:eastAsia="Roboto" w:hAnsi="Roboto"/>
          <w:b/>
          <w:bCs/>
          <w:color w:val="535B50"/>
          <w:sz w:val="22"/>
          <w:szCs w:val="22"/>
        </w:rPr>
        <w:t xml:space="preserve">Superoxide Dismutase (SOD2)</w:t>
      </w:r>
      <w:r>
        <w:rPr>
          <w:rFonts w:ascii="Roboto" w:cs="Roboto" w:eastAsia="Roboto" w:hAnsi="Roboto"/>
          <w:color w:val="000000"/>
          <w:sz w:val="22"/>
          <w:szCs w:val="22"/>
        </w:rPr>
        <w:t xml:space="preserve">   HIGH PRIORITY — homozygous variant</w:t>
      </w:r>
      <w:r>
        <w:rPr>
          <w:rFonts w:ascii="Roboto" w:cs="Roboto" w:eastAsia="Roboto" w:hAnsi="Roboto"/>
          <w:i/>
          <w:iCs/>
          <w:color w:val="666666"/>
          <w:sz w:val="20"/>
          <w:szCs w:val="20"/>
        </w:rPr>
        <w:t xml:space="preserve">   (ref: Lab framework: average / medium / high priority)</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Reported as homozygous variant associated with reduced mitochondrial antioxidant capacity. SOD2-dependent mitochondrial protection may be supported by manganese, CoQ10, and lipid-soluble antioxidants per published mechanism literature.</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Manganese (SOD2 cofactor), CoQ10, alpha-lipoic acid, vitamin E, vitamin C are commonly studied for mitochondrial redox support.</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Activates mitochondrial_cardiovascular and minerals axes as secondary priority (modifier-only, no biomarker integration).</w:t>
      </w:r>
    </w:p>
    <w:p>
      <w:pPr>
        <w:spacing w:after="60" w:before="120"/>
      </w:pPr>
      <w:r>
        <w:rPr>
          <w:rFonts w:ascii="Roboto" w:cs="Roboto" w:eastAsia="Roboto" w:hAnsi="Roboto"/>
          <w:b/>
          <w:bCs/>
          <w:color w:val="535B50"/>
          <w:sz w:val="22"/>
          <w:szCs w:val="22"/>
        </w:rPr>
        <w:t xml:space="preserve">Catalase (CAT)</w:t>
      </w:r>
      <w:r>
        <w:rPr>
          <w:rFonts w:ascii="Roboto" w:cs="Roboto" w:eastAsia="Roboto" w:hAnsi="Roboto"/>
          <w:color w:val="000000"/>
          <w:sz w:val="22"/>
          <w:szCs w:val="22"/>
        </w:rPr>
        <w:t xml:space="preserve">   Wild-type — AVERAGE PRIORITY</w:t>
      </w:r>
      <w:r>
        <w:rPr>
          <w:rFonts w:ascii="Roboto" w:cs="Roboto" w:eastAsia="Roboto" w:hAnsi="Roboto"/>
          <w:i/>
          <w:iCs/>
          <w:color w:val="666666"/>
          <w:sz w:val="20"/>
          <w:szCs w:val="20"/>
        </w:rPr>
        <w:t xml:space="preserve">   (ref: Lab framework: wild-type favourable)</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Reported wild-type genotype associated with improved catalase activity. No specific intervention indicated.</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None required.</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No axis activated.</w:t>
      </w:r>
    </w:p>
    <w:p>
      <w:pPr>
        <w:spacing w:after="60" w:before="120"/>
      </w:pPr>
      <w:r>
        <w:rPr>
          <w:rFonts w:ascii="Roboto" w:cs="Roboto" w:eastAsia="Roboto" w:hAnsi="Roboto"/>
          <w:b/>
          <w:bCs/>
          <w:color w:val="535B50"/>
          <w:sz w:val="22"/>
          <w:szCs w:val="22"/>
        </w:rPr>
        <w:t xml:space="preserve">Glutathione Peroxidase (GPX1)</w:t>
      </w:r>
      <w:r>
        <w:rPr>
          <w:rFonts w:ascii="Roboto" w:cs="Roboto" w:eastAsia="Roboto" w:hAnsi="Roboto"/>
          <w:color w:val="000000"/>
          <w:sz w:val="22"/>
          <w:szCs w:val="22"/>
        </w:rPr>
        <w:t xml:space="preserve">   MEDIUM PRIORITY — heterozygous</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Reported heterozygous genotype is associated with higher selenium requirement per laboratory framework.</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Selenium is the catalytic cofactor for GPX1; selenomethionine supplementation has been studied in mechanism papers. Caution applies in the absence of red-cell selenium data.</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Activates minerals axis (selenium) at supportive priority, conservative dosing only.</w:t>
      </w:r>
    </w:p>
    <w:p>
      <w:pPr>
        <w:spacing w:after="60" w:before="120"/>
      </w:pPr>
      <w:r>
        <w:rPr>
          <w:rFonts w:ascii="Roboto" w:cs="Roboto" w:eastAsia="Roboto" w:hAnsi="Roboto"/>
          <w:b/>
          <w:bCs/>
          <w:color w:val="535B50"/>
          <w:sz w:val="22"/>
          <w:szCs w:val="22"/>
        </w:rPr>
        <w:t xml:space="preserve">Choline and Betaine (PEMT)</w:t>
      </w:r>
      <w:r>
        <w:rPr>
          <w:rFonts w:ascii="Roboto" w:cs="Roboto" w:eastAsia="Roboto" w:hAnsi="Roboto"/>
          <w:color w:val="000000"/>
          <w:sz w:val="22"/>
          <w:szCs w:val="22"/>
        </w:rPr>
        <w:t xml:space="preserve">   HIGH PRIORITY</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Reported PEMT genotype combination is associated with higher requirement for choline and betaine to support phosphatidylcholine synthesis and methylation flux.</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Choline (phosphatidylcholine, choline bitartrate) and betaine (trimethylglycine) are commonly studied as methyl donors and PEMT pathway supports.</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Activates b_vitamins_methylation axis as secondary priority. Choline bitartrate and betaine are in-Library and prioritised for the pod.</w:t>
      </w:r>
    </w:p>
    <w:p>
      <w:pPr>
        <w:spacing w:after="60" w:before="120"/>
      </w:pPr>
      <w:r>
        <w:rPr>
          <w:rFonts w:ascii="Roboto" w:cs="Roboto" w:eastAsia="Roboto" w:hAnsi="Roboto"/>
          <w:b/>
          <w:bCs/>
          <w:color w:val="535B50"/>
          <w:sz w:val="22"/>
          <w:szCs w:val="22"/>
        </w:rPr>
        <w:t xml:space="preserve">Folate (MTHFR 677 + MTHFR 1298)</w:t>
      </w:r>
      <w:r>
        <w:rPr>
          <w:rFonts w:ascii="Roboto" w:cs="Roboto" w:eastAsia="Roboto" w:hAnsi="Roboto"/>
          <w:color w:val="000000"/>
          <w:sz w:val="22"/>
          <w:szCs w:val="22"/>
        </w:rPr>
        <w:t xml:space="preserve">   MEDIUM PRIORITY</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Reported combined genotype associated with higher folate requirement per laboratory framework; methylfolate or folinic acid forms are commonly considered.</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Calcium levomefolate (5-MTHF) and calcium folinate are commonly studied as bioavailable folate forms in MTHFR variant contexts.</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Activates b_vitamins_methylation axis at secondary priority.</w:t>
      </w:r>
    </w:p>
    <w:p>
      <w:pPr>
        <w:spacing w:after="60" w:before="120"/>
      </w:pPr>
      <w:r>
        <w:rPr>
          <w:rFonts w:ascii="Roboto" w:cs="Roboto" w:eastAsia="Roboto" w:hAnsi="Roboto"/>
          <w:b/>
          <w:bCs/>
          <w:color w:val="535B50"/>
          <w:sz w:val="22"/>
          <w:szCs w:val="22"/>
        </w:rPr>
        <w:t xml:space="preserve">Vitamin B6 (NBPF3 + CBS)</w:t>
      </w:r>
      <w:r>
        <w:rPr>
          <w:rFonts w:ascii="Roboto" w:cs="Roboto" w:eastAsia="Roboto" w:hAnsi="Roboto"/>
          <w:color w:val="000000"/>
          <w:sz w:val="22"/>
          <w:szCs w:val="22"/>
        </w:rPr>
        <w:t xml:space="preserve">   AVERAGE PRIORITY</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Average requirement reported. Conservative P5P inclusion supports the methylation axis without being primary-driven.</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P5P is the active B6 form supporting CBS/transsulfuration.</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Supportive inclusion in b_vitamins_methylation axis.</w:t>
      </w:r>
    </w:p>
    <w:p>
      <w:pPr>
        <w:spacing w:after="60" w:before="120"/>
      </w:pPr>
      <w:r>
        <w:rPr>
          <w:rFonts w:ascii="Roboto" w:cs="Roboto" w:eastAsia="Roboto" w:hAnsi="Roboto"/>
          <w:b/>
          <w:bCs/>
          <w:color w:val="535B50"/>
          <w:sz w:val="22"/>
          <w:szCs w:val="22"/>
        </w:rPr>
        <w:t xml:space="preserve">Serum Vitamin B12 (FUT2)</w:t>
      </w:r>
      <w:r>
        <w:rPr>
          <w:rFonts w:ascii="Roboto" w:cs="Roboto" w:eastAsia="Roboto" w:hAnsi="Roboto"/>
          <w:color w:val="000000"/>
          <w:sz w:val="22"/>
          <w:szCs w:val="22"/>
        </w:rPr>
        <w:t xml:space="preserve">   AVERAGE PRIORITY</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Average requirement reported. Conservative methylcobalamin inclusion supports the methylation stack.</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Methylcobalamin is commonly used for methylation cycle support.</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Supportive inclusion in b_vitamins_methylation axis.</w:t>
      </w:r>
    </w:p>
    <w:p>
      <w:pPr>
        <w:spacing w:after="60" w:before="120"/>
      </w:pPr>
      <w:r>
        <w:rPr>
          <w:rFonts w:ascii="Roboto" w:cs="Roboto" w:eastAsia="Roboto" w:hAnsi="Roboto"/>
          <w:b/>
          <w:bCs/>
          <w:color w:val="535B50"/>
          <w:sz w:val="22"/>
          <w:szCs w:val="22"/>
        </w:rPr>
        <w:t xml:space="preserve">Riboflavin (B2) — MTHFR 677 heterozygous</w:t>
      </w:r>
      <w:r>
        <w:rPr>
          <w:rFonts w:ascii="Roboto" w:cs="Roboto" w:eastAsia="Roboto" w:hAnsi="Roboto"/>
          <w:color w:val="000000"/>
          <w:sz w:val="22"/>
          <w:szCs w:val="22"/>
        </w:rPr>
        <w:t xml:space="preserve">   MEDIUM PRIORITY</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MTHFR 677 heterozygote reported as having higher riboflavin requirement; riboflavin stabilises the MTHFR enzyme per published cofactor literature.</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Riboflavin (B2) is the FAD cofactor for MTHFR.</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Secondary-priority inclusion in b_vitamins_methylation axis.</w:t>
      </w:r>
    </w:p>
    <w:p>
      <w:pPr>
        <w:spacing w:after="60" w:before="120"/>
      </w:pPr>
      <w:r>
        <w:rPr>
          <w:rFonts w:ascii="Roboto" w:cs="Roboto" w:eastAsia="Roboto" w:hAnsi="Roboto"/>
          <w:b/>
          <w:bCs/>
          <w:color w:val="535B50"/>
          <w:sz w:val="22"/>
          <w:szCs w:val="22"/>
        </w:rPr>
        <w:t xml:space="preserve">Magnesium (COMT)</w:t>
      </w:r>
      <w:r>
        <w:rPr>
          <w:rFonts w:ascii="Roboto" w:cs="Roboto" w:eastAsia="Roboto" w:hAnsi="Roboto"/>
          <w:color w:val="000000"/>
          <w:sz w:val="22"/>
          <w:szCs w:val="22"/>
        </w:rPr>
        <w:t xml:space="preserve">   HIGH PRIORITY — homozygous COMT variant</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Homozygous COMT variant reported as associated with 3–5x decreased enzymatic activity and increased magnesium requirement per laboratory framework. Magnesium is a COMT cofactor.</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Magnesium glycinate is commonly studied for cofactor support and tolerability. Catecholamine clearance is COMT-dependent.</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Activates minerals axis as secondary priority; magnesium glycinate is a foundational inclusion.</w:t>
      </w:r>
    </w:p>
    <w:p>
      <w:pPr>
        <w:spacing w:after="60" w:before="120"/>
      </w:pPr>
      <w:r>
        <w:rPr>
          <w:rFonts w:ascii="Roboto" w:cs="Roboto" w:eastAsia="Roboto" w:hAnsi="Roboto"/>
          <w:b/>
          <w:bCs/>
          <w:color w:val="535B50"/>
          <w:sz w:val="22"/>
          <w:szCs w:val="22"/>
        </w:rPr>
        <w:t xml:space="preserve">Lp(a) (LPA rs3798220 / rs10455872)</w:t>
      </w:r>
      <w:r>
        <w:rPr>
          <w:rFonts w:ascii="Roboto" w:cs="Roboto" w:eastAsia="Roboto" w:hAnsi="Roboto"/>
          <w:color w:val="000000"/>
          <w:sz w:val="22"/>
          <w:szCs w:val="22"/>
        </w:rPr>
        <w:t xml:space="preserve">   AVERAGE PRIORITY — wild-type</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Wild-type reported; no genetically driven Lp(a) elevation indicated by this panel.</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Not applicable.</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No axis activated.</w:t>
      </w:r>
    </w:p>
    <w:p>
      <w:pPr>
        <w:spacing w:after="60" w:before="120"/>
      </w:pPr>
      <w:r>
        <w:rPr>
          <w:rFonts w:ascii="Roboto" w:cs="Roboto" w:eastAsia="Roboto" w:hAnsi="Roboto"/>
          <w:b/>
          <w:bCs/>
          <w:color w:val="535B50"/>
          <w:sz w:val="22"/>
          <w:szCs w:val="22"/>
        </w:rPr>
        <w:t xml:space="preserve">Fasting Insulin (TCF7L2)</w:t>
      </w:r>
      <w:r>
        <w:rPr>
          <w:rFonts w:ascii="Roboto" w:cs="Roboto" w:eastAsia="Roboto" w:hAnsi="Roboto"/>
          <w:color w:val="000000"/>
          <w:sz w:val="22"/>
          <w:szCs w:val="22"/>
        </w:rPr>
        <w:t xml:space="preserve">   AVERAGE PRIORITY</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Reported as not carrying the 9p21 homozygous risk genotype; average risk per panel framework.</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Not applicable as primary driver.</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No axis activated.</w:t>
      </w:r>
    </w:p>
    <w:p>
      <w:pPr>
        <w:spacing w:after="60" w:before="120"/>
      </w:pPr>
      <w:r>
        <w:rPr>
          <w:rFonts w:ascii="Roboto" w:cs="Roboto" w:eastAsia="Roboto" w:hAnsi="Roboto"/>
          <w:b/>
          <w:bCs/>
          <w:color w:val="535B50"/>
          <w:sz w:val="22"/>
          <w:szCs w:val="22"/>
        </w:rPr>
        <w:t xml:space="preserve">Soluble/Insoluble Fiber (9p21)</w:t>
      </w:r>
      <w:r>
        <w:rPr>
          <w:rFonts w:ascii="Roboto" w:cs="Roboto" w:eastAsia="Roboto" w:hAnsi="Roboto"/>
          <w:color w:val="000000"/>
          <w:sz w:val="22"/>
          <w:szCs w:val="22"/>
        </w:rPr>
        <w:t xml:space="preserve">   AVERAGE PRIORITY</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Wild-type reported; dietary fibre intake at standard recommendations.</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Dietary fibre recommendation noted as lifestyle consideration.</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No axis activated; lifestyle discussion only.</w:t>
      </w:r>
    </w:p>
    <w:p>
      <w:pPr>
        <w:spacing w:after="60" w:before="120"/>
      </w:pPr>
      <w:r>
        <w:rPr>
          <w:rFonts w:ascii="Roboto" w:cs="Roboto" w:eastAsia="Roboto" w:hAnsi="Roboto"/>
          <w:b/>
          <w:bCs/>
          <w:color w:val="535B50"/>
          <w:sz w:val="22"/>
          <w:szCs w:val="22"/>
        </w:rPr>
        <w:t xml:space="preserve">Prebiotic Fiber (FUT2 + TCF7L2)</w:t>
      </w:r>
      <w:r>
        <w:rPr>
          <w:rFonts w:ascii="Roboto" w:cs="Roboto" w:eastAsia="Roboto" w:hAnsi="Roboto"/>
          <w:color w:val="000000"/>
          <w:sz w:val="22"/>
          <w:szCs w:val="22"/>
        </w:rPr>
        <w:t xml:space="preserve">   AVERAGE PRIORITY</w:t>
      </w:r>
      <w:r>
        <w:rPr>
          <w:rFonts w:ascii="Roboto" w:cs="Roboto" w:eastAsia="Roboto" w:hAnsi="Roboto"/>
          <w:i/>
          <w:iCs/>
          <w:color w:val="666666"/>
          <w:sz w:val="20"/>
          <w:szCs w:val="20"/>
        </w:rPr>
        <w:t xml:space="preserve">   (ref: Lab framework)</w:t>
      </w:r>
    </w:p>
    <w:p>
      <w:pPr>
        <w:spacing w:after="60"/>
      </w:pPr>
      <w:r>
        <w:rPr>
          <w:rFonts w:ascii="Roboto" w:cs="Roboto" w:eastAsia="Roboto" w:hAnsi="Roboto"/>
          <w:b/>
          <w:bCs/>
          <w:color w:val="535B50"/>
          <w:sz w:val="20"/>
          <w:szCs w:val="20"/>
        </w:rPr>
        <w:t xml:space="preserve">Interpretation: </w:t>
      </w:r>
      <w:r>
        <w:rPr>
          <w:rFonts w:ascii="Roboto" w:cs="Roboto" w:eastAsia="Roboto" w:hAnsi="Roboto"/>
          <w:color w:val="000000"/>
          <w:sz w:val="20"/>
          <w:szCs w:val="20"/>
        </w:rPr>
        <w:t xml:space="preserve">Average requirement per laboratory framework.</w:t>
      </w:r>
    </w:p>
    <w:p>
      <w:pPr>
        <w:spacing w:after="60"/>
      </w:pPr>
      <w:r>
        <w:rPr>
          <w:rFonts w:ascii="Roboto" w:cs="Roboto" w:eastAsia="Roboto" w:hAnsi="Roboto"/>
          <w:b/>
          <w:bCs/>
          <w:color w:val="535B50"/>
          <w:sz w:val="20"/>
          <w:szCs w:val="20"/>
        </w:rPr>
        <w:t xml:space="preserve">Possible contributors: </w:t>
      </w:r>
      <w:r>
        <w:rPr>
          <w:rFonts w:ascii="Roboto" w:cs="Roboto" w:eastAsia="Roboto" w:hAnsi="Roboto"/>
          <w:color w:val="000000"/>
          <w:sz w:val="20"/>
          <w:szCs w:val="20"/>
        </w:rPr>
        <w:t xml:space="preserve">Prebiotic dietary discussion only.</w:t>
      </w:r>
    </w:p>
    <w:p>
      <w:pPr>
        <w:spacing w:after="60"/>
      </w:pPr>
      <w:r>
        <w:rPr>
          <w:rFonts w:ascii="Roboto" w:cs="Roboto" w:eastAsia="Roboto" w:hAnsi="Roboto"/>
          <w:b/>
          <w:bCs/>
          <w:color w:val="535B50"/>
          <w:sz w:val="20"/>
          <w:szCs w:val="20"/>
        </w:rPr>
        <w:t xml:space="preserve">Relevance to formulation: </w:t>
      </w:r>
      <w:r>
        <w:rPr>
          <w:rFonts w:ascii="Roboto" w:cs="Roboto" w:eastAsia="Roboto" w:hAnsi="Roboto"/>
          <w:color w:val="000000"/>
          <w:sz w:val="20"/>
          <w:szCs w:val="20"/>
        </w:rPr>
        <w:t xml:space="preserve">No axis activated; lifestyle discussion only.</w:t>
      </w:r>
    </w:p>
    <w:p>
      <w:pPr>
        <w:pBdr>
          <w:bottom w:val="single" w:color="C3AF88" w:sz="6" w:space="4"/>
        </w:pBdr>
        <w:spacing w:after="180" w:before="360"/>
      </w:pPr>
      <w:r>
        <w:rPr>
          <w:rFonts w:ascii="Roboto" w:cs="Roboto" w:eastAsia="Roboto" w:hAnsi="Roboto"/>
          <w:b/>
          <w:bCs/>
          <w:color w:val="535B50"/>
          <w:sz w:val="28"/>
          <w:szCs w:val="28"/>
        </w:rPr>
        <w:t xml:space="preserve">Section 3 — Diet and Lifestyle Considerations</w:t>
      </w:r>
    </w:p>
    <w:p>
      <w:pPr>
        <w:spacing w:after="240"/>
      </w:pPr>
      <w:r>
        <w:rPr>
          <w:rFonts w:ascii="Roboto" w:cs="Roboto" w:eastAsia="Roboto" w:hAnsi="Roboto"/>
          <w:b w:val="false"/>
          <w:bCs w:val="false"/>
          <w:color w:val="000000"/>
          <w:sz w:val="22"/>
          <w:szCs w:val="22"/>
        </w:rPr>
        <w:t xml:space="preserve">The following considerations are surfaced for practitioner-led discussion. They sit alongside the recommended formulation rather than substituting for it.</w:t>
      </w:r>
    </w:p>
    <w:p>
      <w:pPr>
        <w:spacing w:after="60" w:before="120"/>
      </w:pPr>
      <w:r>
        <w:rPr>
          <w:rFonts w:ascii="Roboto" w:cs="Roboto" w:eastAsia="Roboto" w:hAnsi="Roboto"/>
          <w:b/>
          <w:bCs/>
          <w:color w:val="535B50"/>
          <w:sz w:val="22"/>
          <w:szCs w:val="22"/>
        </w:rPr>
        <w:t xml:space="preserve">Dietary pattern</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Per the e3/e3 APOE profile reported on this panel, the practitioner may wish to discuss a Mediterranean-style dietary pattern emphasising olive oil, fish, polyphenol-rich produce, and cruciferous vegetables, given laboratory framework associations with cognitive longevity in e3 carriers.</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Lab framework links Mediterranean pattern with cognitive longevity in e3 carriers.</w:t>
      </w:r>
    </w:p>
    <w:p>
      <w:pPr>
        <w:spacing w:after="60" w:before="120"/>
      </w:pPr>
      <w:r>
        <w:rPr>
          <w:rFonts w:ascii="Roboto" w:cs="Roboto" w:eastAsia="Roboto" w:hAnsi="Roboto"/>
          <w:b/>
          <w:bCs/>
          <w:color w:val="535B50"/>
          <w:sz w:val="22"/>
          <w:szCs w:val="22"/>
        </w:rPr>
        <w:t xml:space="preserve">Polyphenol intake</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Dietary inclusion of green tea, berries, pomegranate, turmeric, and cruciferous vegetables may complement the FOXO3 GT genotype profile per laboratory framework.</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FOXO3 pathway support discussed in laboratory report.</w:t>
      </w:r>
    </w:p>
    <w:p>
      <w:pPr>
        <w:spacing w:after="60" w:before="120"/>
      </w:pPr>
      <w:r>
        <w:rPr>
          <w:rFonts w:ascii="Roboto" w:cs="Roboto" w:eastAsia="Roboto" w:hAnsi="Roboto"/>
          <w:b/>
          <w:bCs/>
          <w:color w:val="535B50"/>
          <w:sz w:val="22"/>
          <w:szCs w:val="22"/>
        </w:rPr>
        <w:t xml:space="preserve">Exercise programming</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The practitioner may wish to discuss with the patient a combined approach of moderate resistance training (30–60 min/week as referenced in the lab report) plus aerobic conditioning — per laboratory framework noting that endurance components support longevity outcomes in ACTN3 RR carriers.</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ACTN3 RR genotype framework discussion.</w:t>
      </w:r>
    </w:p>
    <w:p>
      <w:pPr>
        <w:spacing w:after="60" w:before="120"/>
      </w:pPr>
      <w:r>
        <w:rPr>
          <w:rFonts w:ascii="Roboto" w:cs="Roboto" w:eastAsia="Roboto" w:hAnsi="Roboto"/>
          <w:b/>
          <w:bCs/>
          <w:color w:val="535B50"/>
          <w:sz w:val="22"/>
          <w:szCs w:val="22"/>
        </w:rPr>
        <w:t xml:space="preserve">Mind-body practices</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The lab framework notes that deep breathing practices such as yoga or tai chi have been studied in relation to glutathione status; the practitioner may wish to discuss inclusion of such practices given the GSTM1/GSTP1 finding.</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Glutathione support framework discussion.</w:t>
      </w:r>
    </w:p>
    <w:p>
      <w:pPr>
        <w:spacing w:after="60" w:before="120"/>
      </w:pPr>
      <w:r>
        <w:rPr>
          <w:rFonts w:ascii="Roboto" w:cs="Roboto" w:eastAsia="Roboto" w:hAnsi="Roboto"/>
          <w:b/>
          <w:bCs/>
          <w:color w:val="535B50"/>
          <w:sz w:val="22"/>
          <w:szCs w:val="22"/>
        </w:rPr>
        <w:t xml:space="preserve">Choline-rich foods</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Given the PEMT HIGH-priority finding, the practitioner may wish to discuss dietary choline sources (eggs, liver, soy, cruciferous vegetables) alongside any supplemental choline strategy.</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PEMT genotype framework discussion.</w:t>
      </w:r>
    </w:p>
    <w:p>
      <w:pPr>
        <w:spacing w:after="60" w:before="120"/>
      </w:pPr>
      <w:r>
        <w:rPr>
          <w:rFonts w:ascii="Roboto" w:cs="Roboto" w:eastAsia="Roboto" w:hAnsi="Roboto"/>
          <w:b/>
          <w:bCs/>
          <w:color w:val="535B50"/>
          <w:sz w:val="22"/>
          <w:szCs w:val="22"/>
        </w:rPr>
        <w:t xml:space="preserve">Selenium dietary sources and biomarker monitoring</w:t>
      </w:r>
    </w:p>
    <w:p>
      <w:pPr>
        <w:spacing w:after="60"/>
      </w:pPr>
      <w:r>
        <w:rPr>
          <w:rFonts w:ascii="Roboto" w:cs="Roboto" w:eastAsia="Roboto" w:hAnsi="Roboto"/>
          <w:b/>
          <w:bCs/>
          <w:color w:val="535B50"/>
          <w:sz w:val="20"/>
          <w:szCs w:val="20"/>
        </w:rPr>
        <w:t xml:space="preserve">Consideration: </w:t>
      </w:r>
      <w:r>
        <w:rPr>
          <w:rFonts w:ascii="Roboto" w:cs="Roboto" w:eastAsia="Roboto" w:hAnsi="Roboto"/>
          <w:color w:val="000000"/>
          <w:sz w:val="20"/>
          <w:szCs w:val="20"/>
        </w:rPr>
        <w:t xml:space="preserve">Given the GPX1 MEDIUM-priority finding and the absence of red-cell selenium data on this panel, the practitioner may wish to consider conservative dietary selenium sources (e.g. 1–2 Brazil nuts/day provides substantial selenium) and discuss whether a red-cell selenium assay would refine supplement dosing.</w:t>
      </w:r>
    </w:p>
    <w:p>
      <w:pPr>
        <w:spacing w:after="60"/>
      </w:pPr>
      <w:r>
        <w:rPr>
          <w:rFonts w:ascii="Roboto" w:cs="Roboto" w:eastAsia="Roboto" w:hAnsi="Roboto"/>
          <w:b/>
          <w:bCs/>
          <w:color w:val="535B50"/>
          <w:sz w:val="20"/>
          <w:szCs w:val="20"/>
        </w:rPr>
        <w:t xml:space="preserve">Rationale: </w:t>
      </w:r>
      <w:r>
        <w:rPr>
          <w:rFonts w:ascii="Roboto" w:cs="Roboto" w:eastAsia="Roboto" w:hAnsi="Roboto"/>
          <w:color w:val="000000"/>
          <w:sz w:val="20"/>
          <w:szCs w:val="20"/>
        </w:rPr>
        <w:t xml:space="preserve">GPX1 framework and safety floor for selenium in absence of biomarker data.</w:t>
      </w:r>
    </w:p>
    <w:p>
      <w:pPr>
        <w:pBdr>
          <w:bottom w:val="single" w:color="C3AF88" w:sz="6" w:space="4"/>
        </w:pBdr>
        <w:spacing w:after="180" w:before="360"/>
      </w:pPr>
      <w:r>
        <w:rPr>
          <w:rFonts w:ascii="Roboto" w:cs="Roboto" w:eastAsia="Roboto" w:hAnsi="Roboto"/>
          <w:b/>
          <w:bCs/>
          <w:color w:val="535B50"/>
          <w:sz w:val="28"/>
          <w:szCs w:val="28"/>
        </w:rPr>
        <w:t xml:space="preserve">Section 4 — Recommended Formulation Logic</w:t>
      </w:r>
    </w:p>
    <w:p>
      <w:pPr>
        <w:spacing w:after="180" w:before="240"/>
      </w:pPr>
      <w:r>
        <w:rPr>
          <w:rFonts w:ascii="Roboto" w:cs="Roboto" w:eastAsia="Roboto" w:hAnsi="Roboto"/>
          <w:b/>
          <w:bCs/>
          <w:color w:val="535B50"/>
          <w:sz w:val="24"/>
          <w:szCs w:val="24"/>
        </w:rPr>
        <w:t xml:space="preserve">Overall strategy</w:t>
      </w:r>
    </w:p>
    <w:p>
      <w:pPr>
        <w:spacing w:after="120"/>
      </w:pPr>
      <w:r>
        <w:rPr>
          <w:rFonts w:ascii="Roboto" w:cs="Roboto" w:eastAsia="Roboto" w:hAnsi="Roboto"/>
          <w:b w:val="false"/>
          <w:bCs w:val="false"/>
          <w:color w:val="000000"/>
          <w:sz w:val="22"/>
          <w:szCs w:val="22"/>
        </w:rPr>
        <w:t xml:space="preserve">GP-class modifier formulation. The strategy is to (1) prioritise foundational ingredients for the three HIGH-priority axes (SOD2/mitochondrial, PEMT/methylation, COMT/magnesium), (2) layer MEDIUM-priority axes (glutathione/Phase II, GPX1/selenium, MTHFR/folate-B2), and (3) include FOXO3-supportive polyphenols at supportive priority. Doses target genotype-modifier ranges (not high-end therapeutic) because biomarker confirmation is absent. The pod is filled with low-to-moderate granule-cost B-vitamins, minerals, and polyphenols; magnesium glycinate is included at moderate dose with original_target_dose populated to reflect that biomarker-confirmed COMT support could justify higher dosing. Selenium is included at conservative dose (~100 mcg elemental) given GPX1 indication and absence of red-cell selenium data — this is the safety floor stipulated by the GP-class rules. Choline bitartrate and betaine are included as PEMT-priority foundationals.</w:t>
      </w:r>
    </w:p>
    <w:p>
      <w:pPr>
        <w:spacing w:after="180" w:before="240"/>
      </w:pPr>
      <w:r>
        <w:rPr>
          <w:rFonts w:ascii="Roboto" w:cs="Roboto" w:eastAsia="Roboto" w:hAnsi="Roboto"/>
          <w:b/>
          <w:bCs/>
          <w:color w:val="535B50"/>
          <w:sz w:val="24"/>
          <w:szCs w:val="24"/>
        </w:rPr>
        <w:t xml:space="preserve">What was intentionally included, and why</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Magnesium glycinate — COMT homozygous HIGH-priority cofactor; tolerable salt form; foundational inclusion at 200 mg elemental Mg</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Choline bitartrate — PEMT HIGH-priority methyl donor and phosphatidylcholine precursor; foundational inclusion at 200 mg elemental choline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Betaine (trimethylglycine) — PEMT-pathway methyl donor adjunct supporting homocysteine remethylation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Coenzyme Q10 — SOD2 mitochondrial support; FOXO3 pathway adjunct; foundational mitochondrial inclusion at 100 mg</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PQQ — mitochondrial biogenesis adjunct supporting SOD2/FOXO3 mitochondrial profile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NAC — glutathione precursor addressing GSTM1/GSTP1 MEDIUM-priority finding</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S-acetyl-l-glutathione — direct glutathione support given GSTM1/GSTP1 profile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Milk thistle (silymarin) — Phase II/Nrf2 support complementing the antioxidant axis</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Vitamin C — antioxidant and glutathione recycling cofactor</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Selenomethionine — GPX1 MEDIUM-priority cofactor at conservative dose (~100 mcg elemental) given absence of red-cell selenium biomarker</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Calcium folinate (folinic acid) — MTHFR 677/1298 combination MEDIUM-priority folate form</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Methylcobalamin (B12) — methylation cycle support; conservative dose given AVERAGE priority for B12</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P5P (B6) — methylation/transsulfuration cofactor at supportive dose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Riboflavin (B2) — MTHFR 677 stabilising cofactor</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Resveratrol — FOXO3 pathway support per published mechanism literature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Quercetin — polyphenol complement and APOE e3 responsiveness per lab framework</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Zinc citrate — SOD cofactor and general antioxidant support at modest dose</w:t>
      </w:r>
    </w:p>
    <w:p>
      <w:pPr>
        <w:spacing w:after="180" w:before="240"/>
      </w:pPr>
      <w:r>
        <w:rPr>
          <w:rFonts w:ascii="Roboto" w:cs="Roboto" w:eastAsia="Roboto" w:hAnsi="Roboto"/>
          <w:b/>
          <w:bCs/>
          <w:color w:val="535B50"/>
          <w:sz w:val="24"/>
          <w:szCs w:val="24"/>
        </w:rPr>
        <w:t xml:space="preserve">What was intentionally excluded, and why</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High-dose selenomethionine (&gt;150 mcg elemental) — Binding safety floor for GP-class with no red-cell selenium biomarker data. Conservative ≤100 mcg elemental Se applied per GP-class selenium caution.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Iodine and high-dose iodine-containing ingredients — No thyroid antibody or thyroid function biomarker data on this panel; no specific indication from the genotype findings.</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Iron — No iron studies on this GP panel; no genotype indication for iron supplementation.</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Copper — No copper/zinc ratio data; zinc is being included at modest dose so additional copper is not indicated by this panel.</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Phosphatidylcholine / high-dose choline standalone product — Phosphatidylcholine is not in the current Library. Choline bitartrate (in-Library) is used as the in-pod choline source; the practitioner may wish to consider a standalone phosphatidylcholine product separately given the PEMT HIGH-priority finding.</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Omega-3 EPA/DHA — Omega-3 fish oil products are not in the current granule Library and are structurally incompatible with the granule format. Surfaced as a standalone recommendation given APOE/longevity context.</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Berberine — TCF7L2 and 9p21 reported as AVERAGE priority on this panel; no metabolic biomarker data; not indicated as foundational by GP genotype profile.</w:t>
      </w:r>
    </w:p>
    <w:p>
      <w:pPr>
        <w:spacing w:after="240"/>
      </w:pPr>
      <w:r>
        <w:rPr>
          <w:rFonts w:ascii="Roboto" w:cs="Roboto" w:eastAsia="Roboto" w:hAnsi="Roboto"/>
          <w:b w:val="false"/>
          <w:bCs w:val="false"/>
          <w:color w:val="000000"/>
          <w:sz w:val="22"/>
          <w:szCs w:val="22"/>
        </w:rPr>
        <w:t xml:space="preserve">The detailed ingredient-by-ingredient formulation, including doses, granule counts, and per-ingredient rationale, is in the companion Recommended Formulation Schedule (.xlsx).</w:t>
      </w:r>
    </w:p>
    <w:p>
      <w:pPr>
        <w:pBdr>
          <w:bottom w:val="single" w:color="C3AF88" w:sz="6" w:space="4"/>
        </w:pBdr>
        <w:spacing w:after="180" w:before="360"/>
      </w:pPr>
      <w:r>
        <w:rPr>
          <w:rFonts w:ascii="Roboto" w:cs="Roboto" w:eastAsia="Roboto" w:hAnsi="Roboto"/>
          <w:b/>
          <w:bCs/>
          <w:color w:val="535B50"/>
          <w:sz w:val="28"/>
          <w:szCs w:val="28"/>
        </w:rPr>
        <w:t xml:space="preserve">Section 5 — Contraindication and Interaction Considerations</w:t>
      </w:r>
    </w:p>
    <w:p>
      <w:pPr>
        <w:spacing w:after="180" w:before="240"/>
      </w:pPr>
      <w:r>
        <w:rPr>
          <w:rFonts w:ascii="Roboto" w:cs="Roboto" w:eastAsia="Roboto" w:hAnsi="Roboto"/>
          <w:b/>
          <w:bCs/>
          <w:color w:val="535B50"/>
          <w:sz w:val="24"/>
          <w:szCs w:val="24"/>
        </w:rPr>
        <w:t xml:space="preserve">Contraindication flags</w:t>
      </w:r>
    </w:p>
    <w:p>
      <w:pPr>
        <w:spacing w:after="120"/>
      </w:pPr>
      <w:r>
        <w:rPr>
          <w:rFonts w:ascii="Roboto" w:cs="Roboto" w:eastAsia="Roboto" w:hAnsi="Roboto"/>
          <w:b w:val="false"/>
          <w:bCs w:val="false"/>
          <w:color w:val="000000"/>
          <w:sz w:val="22"/>
          <w:szCs w:val="22"/>
        </w:rPr>
        <w:t xml:space="preserve">3 contraindication or interaction consideration(s) raised for practitioner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985"/>
        <w:gridCol w:w="4151"/>
        <w:gridCol w:w="1624"/>
      </w:tblGrid>
      <w:tr>
        <w:trPr>
          <w:tblHeader/>
        </w:trPr>
        <w:tc>
          <w:tcPr>
            <w:tcW w:type="dxa" w:w="1263"/>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Severity</w:t>
            </w:r>
          </w:p>
        </w:tc>
        <w:tc>
          <w:tcPr>
            <w:tcW w:type="dxa" w:w="1985"/>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Flag</w:t>
            </w:r>
          </w:p>
        </w:tc>
        <w:tc>
          <w:tcPr>
            <w:tcW w:type="dxa" w:w="4151"/>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Description</w:t>
            </w:r>
          </w:p>
        </w:tc>
        <w:tc>
          <w:tcPr>
            <w:tcW w:type="dxa" w:w="1624"/>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Affected Ingredient(s)</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informational</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Medication context not provided</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No medication list was provided in the practitioner notes. Standard contraindication checks have been run against the formulation alone. Notable potential interactions for the practitioner to verify: resveratrol with anticoagulants, NAC and milk thistle with certain medications, magnesium with bisphosphonates/antibiotics (dose timing), folate masking B12 deficiency, B6 long-term high-dose neuropathy risk (not a concern at the proposed 10 mg pyridoxine-equivalent dose).</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applied</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Selenium safety floor applied</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Selenomethionine capped at ~100 mcg elemental in absence of red-cell selenium biomarker data per GP-class caution.</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Chromium picolinate</w:t>
            </w:r>
          </w:p>
        </w:tc>
      </w:tr>
      <w:tr>
        <w:tc>
          <w:tcPr>
            <w:tcW w:type="dxa" w:w="126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666666"/>
                <w:sz w:val="20"/>
                <w:szCs w:val="20"/>
              </w:rPr>
              <w:t xml:space="preserve">informational</w:t>
            </w:r>
          </w:p>
        </w:tc>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Pregnancy/lactation status not specified</w:t>
            </w:r>
          </w:p>
        </w:tc>
        <w:tc>
          <w:tcPr>
            <w:tcW w:type="dxa" w:w="4151"/>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The submission did not indicate pregnancy or lactation status. Practitioner to confirm before dispensing — resveratrol and high-dose betaine in particular are typically avoided in pregnancy.</w:t>
            </w:r>
          </w:p>
        </w:tc>
        <w:tc>
          <w:tcPr>
            <w:tcW w:type="dxa" w:w="1624"/>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r>
    </w:tbl>
    <w:p>
      <w:pPr>
        <w:spacing w:after="180" w:before="240"/>
      </w:pPr>
      <w:r>
        <w:rPr>
          <w:rFonts w:ascii="Roboto" w:cs="Roboto" w:eastAsia="Roboto" w:hAnsi="Roboto"/>
          <w:b/>
          <w:bCs/>
          <w:color w:val="535B50"/>
          <w:sz w:val="24"/>
          <w:szCs w:val="24"/>
        </w:rPr>
        <w:t xml:space="preserve">Binding exclusions applied</w:t>
      </w:r>
    </w:p>
    <w:p>
      <w:pPr>
        <w:spacing w:after="120"/>
      </w:pPr>
      <w:r>
        <w:rPr>
          <w:rFonts w:ascii="Roboto" w:cs="Roboto" w:eastAsia="Roboto" w:hAnsi="Roboto"/>
          <w:b w:val="false"/>
          <w:bCs w:val="false"/>
          <w:color w:val="000000"/>
          <w:sz w:val="22"/>
          <w:szCs w:val="22"/>
        </w:rPr>
        <w:t xml:space="preserve">1 binding exclusion(s) applied. These are ingredients held out of the pod because the panel does not measure the data needed to confirm safety, or the panel data crossed a hard exclusion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429"/>
        <w:gridCol w:w="3610"/>
      </w:tblGrid>
      <w:tr>
        <w:trPr>
          <w:tblHeader/>
        </w:trPr>
        <w:tc>
          <w:tcPr>
            <w:tcW w:type="dxa" w:w="1985"/>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Ingredient</w:t>
            </w:r>
          </w:p>
        </w:tc>
        <w:tc>
          <w:tcPr>
            <w:tcW w:type="dxa" w:w="3429"/>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Trigger</w:t>
            </w:r>
          </w:p>
        </w:tc>
        <w:tc>
          <w:tcPr>
            <w:tcW w:type="dxa" w:w="3610"/>
            <w:tcBorders>
              <w:top w:val="single" w:color="CCCCCC" w:sz="4"/>
              <w:left w:val="single" w:color="CCCCCC" w:sz="4"/>
              <w:bottom w:val="single" w:color="CCCCCC" w:sz="4"/>
              <w:right w:val="single" w:color="CCCCCC" w:sz="4"/>
            </w:tcBorders>
            <w:shd w:fill="E2E0D9" w:color="auto" w:val="clear"/>
            <w:tcMar>
              <w:top w:type="dxa" w:w="100"/>
              <w:left w:type="dxa" w:w="140"/>
              <w:bottom w:type="dxa" w:w="100"/>
              <w:right w:type="dxa" w:w="140"/>
            </w:tcMar>
          </w:tcPr>
          <w:p>
            <w:r>
              <w:rPr>
                <w:rFonts w:ascii="Roboto" w:cs="Roboto" w:eastAsia="Roboto" w:hAnsi="Roboto"/>
                <w:b/>
                <w:bCs/>
                <w:color w:val="535B50"/>
                <w:sz w:val="20"/>
                <w:szCs w:val="20"/>
              </w:rPr>
              <w:t xml:space="preserve">Practitioner Note</w:t>
            </w:r>
          </w:p>
        </w:tc>
      </w:tr>
      <w:tr>
        <w:tc>
          <w:tcPr>
            <w:tcW w:type="dxa" w:w="1985"/>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bCs/>
                <w:color w:val="000000"/>
                <w:sz w:val="20"/>
                <w:szCs w:val="20"/>
              </w:rPr>
              <w:t xml:space="preserve">—</w:t>
            </w:r>
          </w:p>
        </w:tc>
        <w:tc>
          <w:tcPr>
            <w:tcW w:type="dxa" w:w="3429"/>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w:t>
            </w:r>
          </w:p>
        </w:tc>
        <w:tc>
          <w:tcPr>
            <w:tcW w:type="dxa" w:w="361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Roboto" w:cs="Roboto" w:eastAsia="Roboto" w:hAnsi="Roboto"/>
                <w:b w:val="false"/>
                <w:bCs w:val="false"/>
                <w:color w:val="000000"/>
                <w:sz w:val="20"/>
                <w:szCs w:val="20"/>
              </w:rPr>
              <w:t xml:space="preserve">Per GP-class selenium caution, supplemental selenium is capped at ≤100 mcg elemental in the absence of red-cell selenium biomarker data. The practitioner may wish to consider a red-cell selenium assay before titrating higher.</w:t>
            </w:r>
          </w:p>
        </w:tc>
      </w:tr>
    </w:tbl>
    <w:p>
      <w:pPr>
        <w:pBdr>
          <w:bottom w:val="single" w:color="C3AF88" w:sz="6" w:space="4"/>
        </w:pBdr>
        <w:spacing w:after="180" w:before="360"/>
      </w:pPr>
      <w:r>
        <w:rPr>
          <w:rFonts w:ascii="Roboto" w:cs="Roboto" w:eastAsia="Roboto" w:hAnsi="Roboto"/>
          <w:b/>
          <w:bCs/>
          <w:color w:val="535B50"/>
          <w:sz w:val="28"/>
          <w:szCs w:val="28"/>
        </w:rPr>
        <w:t xml:space="preserve">Section 6 — Monitoring and Follow-Up Considerations</w:t>
      </w:r>
    </w:p>
    <w:p>
      <w:pPr>
        <w:spacing w:after="120"/>
      </w:pPr>
      <w:r>
        <w:rPr>
          <w:rFonts w:ascii="Roboto" w:cs="Roboto" w:eastAsia="Roboto" w:hAnsi="Roboto"/>
          <w:b w:val="false"/>
          <w:bCs w:val="false"/>
          <w:color w:val="000000"/>
          <w:sz w:val="22"/>
          <w:szCs w:val="22"/>
        </w:rPr>
        <w:t xml:space="preserve">GP-class outputs are most useful when paired with biomarker follow-up. The practitioner may wish to consider baseline and follow-up assessment of methylation markers, antioxidant status, and metabolic biomarkers at a clinically appropriate interval (commonly 8–12 weeks for short-term modifier strategies and 6 months for longer-term outcomes), as determined by the treating practitioner.</w:t>
      </w:r>
    </w:p>
    <w:p>
      <w:pPr>
        <w:spacing w:after="180" w:before="240"/>
      </w:pPr>
      <w:r>
        <w:rPr>
          <w:rFonts w:ascii="Roboto" w:cs="Roboto" w:eastAsia="Roboto" w:hAnsi="Roboto"/>
          <w:b/>
          <w:bCs/>
          <w:color w:val="535B50"/>
          <w:sz w:val="24"/>
          <w:szCs w:val="24"/>
        </w:rPr>
        <w:t xml:space="preserve">Markers for practitioner consideration at follow-up</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Plasma homocysteine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Serum or red-cell folate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Methylmalonic acid (MMA) for B12 functional status</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Active B12 (holoTC)</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hsCRP</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Fasting insulin and HbA1c</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Lipid panel including ApoB / LDL particle profile if available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Red-cell magnesium</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Red-cell or whole-blood selenium</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Plasma zinc and Cu:Zn ratio if longer-term zinc is continued</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Liver enzymes (ALT/AST/GGT) for milk thistle monitoring context</w:t>
      </w:r>
    </w:p>
    <w:p>
      <w:pPr>
        <w:spacing w:after="120" w:before="240"/>
      </w:pPr>
      <w:r>
        <w:rPr>
          <w:rFonts w:ascii="Roboto" w:cs="Roboto" w:eastAsia="Roboto" w:hAnsi="Roboto"/>
          <w:i/>
          <w:iCs/>
          <w:color w:val="666666"/>
          <w:sz w:val="20"/>
          <w:szCs w:val="20"/>
        </w:rPr>
        <w:t xml:space="preserve">Re-testing of priority markers may be considered at clinically appropriate intervals as determined by the treating practitioner.</w:t>
      </w:r>
    </w:p>
    <w:p>
      <w:pPr>
        <w:pBdr>
          <w:bottom w:val="single" w:color="C3AF88" w:sz="6" w:space="4"/>
        </w:pBdr>
        <w:spacing w:after="180" w:before="360"/>
      </w:pPr>
      <w:r>
        <w:rPr>
          <w:rFonts w:ascii="Roboto" w:cs="Roboto" w:eastAsia="Roboto" w:hAnsi="Roboto"/>
          <w:b/>
          <w:bCs/>
          <w:color w:val="535B50"/>
          <w:sz w:val="28"/>
          <w:szCs w:val="28"/>
        </w:rPr>
        <w:t xml:space="preserve">Section 7 — Areas of Strength</w:t>
      </w:r>
    </w:p>
    <w:p>
      <w:pPr>
        <w:spacing w:after="120"/>
      </w:pPr>
      <w:r>
        <w:rPr>
          <w:rFonts w:ascii="Roboto" w:cs="Roboto" w:eastAsia="Roboto" w:hAnsi="Roboto"/>
          <w:b w:val="false"/>
          <w:bCs w:val="false"/>
          <w:color w:val="000000"/>
          <w:sz w:val="22"/>
          <w:szCs w:val="22"/>
        </w:rPr>
        <w:t xml:space="preserve">The following 7 finding(s) on this panel are within reference and are surfaced as areas of clinical strength to contextualise the abnormal findings above.</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APOE 3/3 — favourable cognitive longevity genotype profile per laboratory framework</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FOXO3 GT — above-average longevity probability per laboratory framework</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Catalase wild-type — improved catalase activity per framework</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LPA wild-type — no genetically driven Lp(a) elevation indicated</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TCF7L2 / 9p21 — average priority; no genetic risk amplification for fasting insulin elevation indicated</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ACTN3 RR — natural power/strength genotype with good baseline muscle fibre composition per framework</w:t>
      </w:r>
    </w:p>
    <w:p>
      <w:pPr>
        <w:spacing w:after="60"/>
      </w:pPr>
      <w:r>
        <w:rPr>
          <w:rFonts w:ascii="Roboto" w:cs="Roboto" w:eastAsia="Roboto" w:hAnsi="Roboto"/>
          <w:b/>
          <w:bCs/>
          <w:color w:val="C3AF88"/>
          <w:sz w:val="22"/>
          <w:szCs w:val="22"/>
        </w:rPr>
        <w:t xml:space="preserve">• </w:t>
      </w:r>
      <w:r>
        <w:rPr>
          <w:rFonts w:ascii="Roboto" w:cs="Roboto" w:eastAsia="Roboto" w:hAnsi="Roboto"/>
          <w:color w:val="000000"/>
          <w:sz w:val="20"/>
          <w:szCs w:val="20"/>
        </w:rPr>
        <w:t xml:space="preserve">Vitamin B6 and B12 requirements reported as average priority</w:t>
      </w:r>
    </w:p>
    <w:p>
      <w:pPr>
        <w:pBdr>
          <w:bottom w:val="single" w:color="C3AF88" w:sz="6" w:space="4"/>
        </w:pBdr>
        <w:spacing w:after="180" w:before="360"/>
      </w:pPr>
      <w:r>
        <w:rPr>
          <w:rFonts w:ascii="Roboto" w:cs="Roboto" w:eastAsia="Roboto" w:hAnsi="Roboto"/>
          <w:b/>
          <w:bCs/>
          <w:color w:val="535B50"/>
          <w:sz w:val="28"/>
          <w:szCs w:val="28"/>
        </w:rPr>
        <w:t xml:space="preserve">References</w:t>
      </w:r>
    </w:p>
    <w:p>
      <w:pPr>
        <w:spacing w:after="240"/>
      </w:pPr>
      <w:r>
        <w:rPr>
          <w:rFonts w:ascii="Roboto" w:cs="Roboto" w:eastAsia="Roboto" w:hAnsi="Roboto"/>
          <w:b w:val="false"/>
          <w:bCs w:val="false"/>
          <w:color w:val="000000"/>
          <w:sz w:val="22"/>
          <w:szCs w:val="22"/>
        </w:rPr>
        <w:t xml:space="preserve">Key published studies cited by the clinical decision support system in support of each formulation decision. Citations should be independently verified by the reviewing practitioner before clinical reliance. PMIDs and DOIs can be confirmed via PubMed (pubmed.ncbi.nlm.nih.gov).</w:t>
      </w:r>
    </w:p>
    <w:p>
      <w:pPr>
        <w:spacing w:after="120"/>
      </w:pPr>
      <w:r>
        <w:rPr>
          <w:rFonts w:ascii="Roboto" w:cs="Roboto" w:eastAsia="Roboto" w:hAnsi="Roboto"/>
          <w:b/>
          <w:bCs/>
          <w:color w:val="C3AF88"/>
          <w:sz w:val="22"/>
          <w:szCs w:val="22"/>
        </w:rPr>
        <w:t xml:space="preserve">[1]</w:t>
      </w:r>
      <w:r>
        <w:rPr>
          <w:rFonts w:ascii="Roboto" w:cs="Roboto" w:eastAsia="Roboto" w:hAnsi="Roboto"/>
          <w:color w:val="000000"/>
          <w:sz w:val="22"/>
          <w:szCs w:val="22"/>
        </w:rPr>
        <w:t xml:space="preserve">  Boyle NB et al. (2017). The effects of magnesium supplementation on subjective anxiety and stress—a systematic review. Nutrients.</w:t>
      </w:r>
      <w:r>
        <w:rPr>
          <w:rFonts w:ascii="Roboto" w:cs="Roboto" w:eastAsia="Roboto" w:hAnsi="Roboto"/>
          <w:i/>
          <w:iCs/>
          <w:color w:val="000000"/>
          <w:sz w:val="18"/>
          <w:szCs w:val="18"/>
        </w:rPr>
        <w:t xml:space="preserve">  (Magnesium glycinate)</w:t>
      </w:r>
    </w:p>
    <w:p>
      <w:pPr>
        <w:spacing w:after="120"/>
      </w:pPr>
      <w:r>
        <w:rPr>
          <w:rFonts w:ascii="Roboto" w:cs="Roboto" w:eastAsia="Roboto" w:hAnsi="Roboto"/>
          <w:b/>
          <w:bCs/>
          <w:color w:val="C3AF88"/>
          <w:sz w:val="22"/>
          <w:szCs w:val="22"/>
        </w:rPr>
        <w:t xml:space="preserve">[2]</w:t>
      </w:r>
      <w:r>
        <w:rPr>
          <w:rFonts w:ascii="Roboto" w:cs="Roboto" w:eastAsia="Roboto" w:hAnsi="Roboto"/>
          <w:color w:val="000000"/>
          <w:sz w:val="22"/>
          <w:szCs w:val="22"/>
        </w:rPr>
        <w:t xml:space="preserve">  Fischer LM et al. (2010). Dietary choline requirements of women: effects of estrogen and genetic variation. American Journal of Clinical Nutrition.</w:t>
      </w:r>
      <w:r>
        <w:rPr>
          <w:rFonts w:ascii="Roboto" w:cs="Roboto" w:eastAsia="Roboto" w:hAnsi="Roboto"/>
          <w:i/>
          <w:iCs/>
          <w:color w:val="000000"/>
          <w:sz w:val="18"/>
          <w:szCs w:val="18"/>
        </w:rPr>
        <w:t xml:space="preserve">  (Choline bitartrate)</w:t>
      </w:r>
    </w:p>
    <w:p>
      <w:pPr>
        <w:spacing w:after="120"/>
      </w:pPr>
      <w:r>
        <w:rPr>
          <w:rFonts w:ascii="Roboto" w:cs="Roboto" w:eastAsia="Roboto" w:hAnsi="Roboto"/>
          <w:b/>
          <w:bCs/>
          <w:color w:val="C3AF88"/>
          <w:sz w:val="22"/>
          <w:szCs w:val="22"/>
        </w:rPr>
        <w:t xml:space="preserve">[3]</w:t>
      </w:r>
      <w:r>
        <w:rPr>
          <w:rFonts w:ascii="Roboto" w:cs="Roboto" w:eastAsia="Roboto" w:hAnsi="Roboto"/>
          <w:color w:val="000000"/>
          <w:sz w:val="22"/>
          <w:szCs w:val="22"/>
        </w:rPr>
        <w:t xml:space="preserve">  Olthof MR et al. (2003). Low dose betaine supplementation leads to immediate and long term lowering of plasma homocysteine in healthy men and women. Journal of Nutrition.</w:t>
      </w:r>
      <w:r>
        <w:rPr>
          <w:rFonts w:ascii="Roboto" w:cs="Roboto" w:eastAsia="Roboto" w:hAnsi="Roboto"/>
          <w:i/>
          <w:iCs/>
          <w:color w:val="000000"/>
          <w:sz w:val="18"/>
          <w:szCs w:val="18"/>
        </w:rPr>
        <w:t xml:space="preserve">  (Betaine (Trimethylglycine))</w:t>
      </w:r>
    </w:p>
    <w:p>
      <w:pPr>
        <w:spacing w:after="120"/>
      </w:pPr>
      <w:r>
        <w:rPr>
          <w:rFonts w:ascii="Roboto" w:cs="Roboto" w:eastAsia="Roboto" w:hAnsi="Roboto"/>
          <w:b/>
          <w:bCs/>
          <w:color w:val="C3AF88"/>
          <w:sz w:val="22"/>
          <w:szCs w:val="22"/>
        </w:rPr>
        <w:t xml:space="preserve">[4]</w:t>
      </w:r>
      <w:r>
        <w:rPr>
          <w:rFonts w:ascii="Roboto" w:cs="Roboto" w:eastAsia="Roboto" w:hAnsi="Roboto"/>
          <w:color w:val="000000"/>
          <w:sz w:val="22"/>
          <w:szCs w:val="22"/>
        </w:rPr>
        <w:t xml:space="preserve">  Hernández-Camacho JD et al. (2018). Coenzyme Q10 supplementation in aging and disease. Frontiers in Physiology.</w:t>
      </w:r>
      <w:r>
        <w:rPr>
          <w:rFonts w:ascii="Roboto" w:cs="Roboto" w:eastAsia="Roboto" w:hAnsi="Roboto"/>
          <w:i/>
          <w:iCs/>
          <w:color w:val="000000"/>
          <w:sz w:val="18"/>
          <w:szCs w:val="18"/>
        </w:rPr>
        <w:t xml:space="preserve">  (Coenzyme Q10)</w:t>
      </w:r>
    </w:p>
    <w:p>
      <w:pPr>
        <w:spacing w:after="120"/>
      </w:pPr>
      <w:r>
        <w:rPr>
          <w:rFonts w:ascii="Roboto" w:cs="Roboto" w:eastAsia="Roboto" w:hAnsi="Roboto"/>
          <w:b/>
          <w:bCs/>
          <w:color w:val="C3AF88"/>
          <w:sz w:val="22"/>
          <w:szCs w:val="22"/>
        </w:rPr>
        <w:t xml:space="preserve">[5]</w:t>
      </w:r>
      <w:r>
        <w:rPr>
          <w:rFonts w:ascii="Roboto" w:cs="Roboto" w:eastAsia="Roboto" w:hAnsi="Roboto"/>
          <w:color w:val="000000"/>
          <w:sz w:val="22"/>
          <w:szCs w:val="22"/>
        </w:rPr>
        <w:t xml:space="preserve">  Harris CB et al. (2013). Dietary pyrroloquinoline quinone (PQQ) alters indicators of inflammation and mitochondrial-related metabolism in human subjects. Journal of Nutritional Biochemistry.</w:t>
      </w:r>
      <w:r>
        <w:rPr>
          <w:rFonts w:ascii="Roboto" w:cs="Roboto" w:eastAsia="Roboto" w:hAnsi="Roboto"/>
          <w:i/>
          <w:iCs/>
          <w:color w:val="000000"/>
          <w:sz w:val="18"/>
          <w:szCs w:val="18"/>
        </w:rPr>
        <w:t xml:space="preserve">  (PQQ)</w:t>
      </w:r>
    </w:p>
    <w:p>
      <w:pPr>
        <w:spacing w:after="120"/>
      </w:pPr>
      <w:r>
        <w:rPr>
          <w:rFonts w:ascii="Roboto" w:cs="Roboto" w:eastAsia="Roboto" w:hAnsi="Roboto"/>
          <w:b/>
          <w:bCs/>
          <w:color w:val="C3AF88"/>
          <w:sz w:val="22"/>
          <w:szCs w:val="22"/>
        </w:rPr>
        <w:t xml:space="preserve">[6]</w:t>
      </w:r>
      <w:r>
        <w:rPr>
          <w:rFonts w:ascii="Roboto" w:cs="Roboto" w:eastAsia="Roboto" w:hAnsi="Roboto"/>
          <w:color w:val="000000"/>
          <w:sz w:val="22"/>
          <w:szCs w:val="22"/>
        </w:rPr>
        <w:t xml:space="preserve">  Atkuri KR et al. (2007). N-Acetylcysteine—a safe antidote for cysteine/glutathione deficiency. Current Opinion in Pharmacology.</w:t>
      </w:r>
      <w:r>
        <w:rPr>
          <w:rFonts w:ascii="Roboto" w:cs="Roboto" w:eastAsia="Roboto" w:hAnsi="Roboto"/>
          <w:i/>
          <w:iCs/>
          <w:color w:val="000000"/>
          <w:sz w:val="18"/>
          <w:szCs w:val="18"/>
        </w:rPr>
        <w:t xml:space="preserve">  (N-acetyl cysteine (NAC))</w:t>
      </w:r>
    </w:p>
    <w:p>
      <w:pPr>
        <w:spacing w:after="120"/>
      </w:pPr>
      <w:r>
        <w:rPr>
          <w:rFonts w:ascii="Roboto" w:cs="Roboto" w:eastAsia="Roboto" w:hAnsi="Roboto"/>
          <w:b/>
          <w:bCs/>
          <w:color w:val="C3AF88"/>
          <w:sz w:val="22"/>
          <w:szCs w:val="22"/>
        </w:rPr>
        <w:t xml:space="preserve">[7]</w:t>
      </w:r>
      <w:r>
        <w:rPr>
          <w:rFonts w:ascii="Roboto" w:cs="Roboto" w:eastAsia="Roboto" w:hAnsi="Roboto"/>
          <w:color w:val="000000"/>
          <w:sz w:val="22"/>
          <w:szCs w:val="22"/>
        </w:rPr>
        <w:t xml:space="preserve">  Richie JP et al. (2015). Randomized controlled trial of oral glutathione supplementation on body stores of glutathione. European Journal of Nutrition.</w:t>
      </w:r>
      <w:r>
        <w:rPr>
          <w:rFonts w:ascii="Roboto" w:cs="Roboto" w:eastAsia="Roboto" w:hAnsi="Roboto"/>
          <w:i/>
          <w:iCs/>
          <w:color w:val="000000"/>
          <w:sz w:val="18"/>
          <w:szCs w:val="18"/>
        </w:rPr>
        <w:t xml:space="preserve">  (Glutathione (s-acetyl-l-glutathione))</w:t>
      </w:r>
    </w:p>
    <w:p>
      <w:pPr>
        <w:spacing w:after="120"/>
      </w:pPr>
      <w:r>
        <w:rPr>
          <w:rFonts w:ascii="Roboto" w:cs="Roboto" w:eastAsia="Roboto" w:hAnsi="Roboto"/>
          <w:b/>
          <w:bCs/>
          <w:color w:val="C3AF88"/>
          <w:sz w:val="22"/>
          <w:szCs w:val="22"/>
        </w:rPr>
        <w:t xml:space="preserve">[8]</w:t>
      </w:r>
      <w:r>
        <w:rPr>
          <w:rFonts w:ascii="Roboto" w:cs="Roboto" w:eastAsia="Roboto" w:hAnsi="Roboto"/>
          <w:color w:val="000000"/>
          <w:sz w:val="22"/>
          <w:szCs w:val="22"/>
        </w:rPr>
        <w:t xml:space="preserve">  Surai PF (2015). Silymarin as a natural antioxidant: an overview of the current evidence and perspectives. Antioxidants.</w:t>
      </w:r>
      <w:r>
        <w:rPr>
          <w:rFonts w:ascii="Roboto" w:cs="Roboto" w:eastAsia="Roboto" w:hAnsi="Roboto"/>
          <w:i/>
          <w:iCs/>
          <w:color w:val="000000"/>
          <w:sz w:val="18"/>
          <w:szCs w:val="18"/>
        </w:rPr>
        <w:t xml:space="preserve">  (Milk thistle (Silymarin))</w:t>
      </w:r>
    </w:p>
    <w:p>
      <w:pPr>
        <w:spacing w:after="120"/>
      </w:pPr>
      <w:r>
        <w:rPr>
          <w:rFonts w:ascii="Roboto" w:cs="Roboto" w:eastAsia="Roboto" w:hAnsi="Roboto"/>
          <w:b/>
          <w:bCs/>
          <w:color w:val="C3AF88"/>
          <w:sz w:val="22"/>
          <w:szCs w:val="22"/>
        </w:rPr>
        <w:t xml:space="preserve">[9]</w:t>
      </w:r>
      <w:r>
        <w:rPr>
          <w:rFonts w:ascii="Roboto" w:cs="Roboto" w:eastAsia="Roboto" w:hAnsi="Roboto"/>
          <w:color w:val="000000"/>
          <w:sz w:val="22"/>
          <w:szCs w:val="22"/>
        </w:rPr>
        <w:t xml:space="preserve">  Carr AC et al. (2017). Vitamin C and immune function. Nutrients.</w:t>
      </w:r>
      <w:r>
        <w:rPr>
          <w:rFonts w:ascii="Roboto" w:cs="Roboto" w:eastAsia="Roboto" w:hAnsi="Roboto"/>
          <w:i/>
          <w:iCs/>
          <w:color w:val="000000"/>
          <w:sz w:val="18"/>
          <w:szCs w:val="18"/>
        </w:rPr>
        <w:t xml:space="preserve">  (Vitamin C (ascorbic acid))</w:t>
      </w:r>
    </w:p>
    <w:p>
      <w:pPr>
        <w:spacing w:after="120"/>
      </w:pPr>
      <w:r>
        <w:rPr>
          <w:rFonts w:ascii="Roboto" w:cs="Roboto" w:eastAsia="Roboto" w:hAnsi="Roboto"/>
          <w:b/>
          <w:bCs/>
          <w:color w:val="C3AF88"/>
          <w:sz w:val="22"/>
          <w:szCs w:val="22"/>
        </w:rPr>
        <w:t xml:space="preserve">[10]</w:t>
      </w:r>
      <w:r>
        <w:rPr>
          <w:rFonts w:ascii="Roboto" w:cs="Roboto" w:eastAsia="Roboto" w:hAnsi="Roboto"/>
          <w:color w:val="000000"/>
          <w:sz w:val="22"/>
          <w:szCs w:val="22"/>
        </w:rPr>
        <w:t xml:space="preserve">  Koushki M et al. (2018). Effect of resveratrol supplementation on inflammatory markers: a systematic review and meta-analysis of randomized controlled trials. Clinical Therapeutics.</w:t>
      </w:r>
      <w:r>
        <w:rPr>
          <w:rFonts w:ascii="Roboto" w:cs="Roboto" w:eastAsia="Roboto" w:hAnsi="Roboto"/>
          <w:i/>
          <w:iCs/>
          <w:color w:val="000000"/>
          <w:sz w:val="18"/>
          <w:szCs w:val="18"/>
        </w:rPr>
        <w:t xml:space="preserve">  (Resveratrol)</w:t>
      </w:r>
    </w:p>
    <w:p>
      <w:pPr>
        <w:spacing w:after="120"/>
      </w:pPr>
      <w:r>
        <w:rPr>
          <w:rFonts w:ascii="Roboto" w:cs="Roboto" w:eastAsia="Roboto" w:hAnsi="Roboto"/>
          <w:b/>
          <w:bCs/>
          <w:color w:val="C3AF88"/>
          <w:sz w:val="22"/>
          <w:szCs w:val="22"/>
        </w:rPr>
        <w:t xml:space="preserve">[11]</w:t>
      </w:r>
      <w:r>
        <w:rPr>
          <w:rFonts w:ascii="Roboto" w:cs="Roboto" w:eastAsia="Roboto" w:hAnsi="Roboto"/>
          <w:color w:val="000000"/>
          <w:sz w:val="22"/>
          <w:szCs w:val="22"/>
        </w:rPr>
        <w:t xml:space="preserve">  Li Y et al. (2016). Quercetin, inflammation and immunity. Nutrients.</w:t>
      </w:r>
      <w:r>
        <w:rPr>
          <w:rFonts w:ascii="Roboto" w:cs="Roboto" w:eastAsia="Roboto" w:hAnsi="Roboto"/>
          <w:i/>
          <w:iCs/>
          <w:color w:val="000000"/>
          <w:sz w:val="18"/>
          <w:szCs w:val="18"/>
        </w:rPr>
        <w:t xml:space="preserve">  (Quercetin)</w:t>
      </w:r>
    </w:p>
    <w:p>
      <w:pPr>
        <w:spacing w:after="120"/>
      </w:pPr>
      <w:r>
        <w:rPr>
          <w:rFonts w:ascii="Roboto" w:cs="Roboto" w:eastAsia="Roboto" w:hAnsi="Roboto"/>
          <w:b/>
          <w:bCs/>
          <w:color w:val="C3AF88"/>
          <w:sz w:val="22"/>
          <w:szCs w:val="22"/>
        </w:rPr>
        <w:t xml:space="preserve">[12]</w:t>
      </w:r>
      <w:r>
        <w:rPr>
          <w:rFonts w:ascii="Roboto" w:cs="Roboto" w:eastAsia="Roboto" w:hAnsi="Roboto"/>
          <w:color w:val="000000"/>
          <w:sz w:val="22"/>
          <w:szCs w:val="22"/>
        </w:rPr>
        <w:t xml:space="preserve">  Rayman MP (2012). Selenium and human health. The Lancet.</w:t>
      </w:r>
      <w:r>
        <w:rPr>
          <w:rFonts w:ascii="Roboto" w:cs="Roboto" w:eastAsia="Roboto" w:hAnsi="Roboto"/>
          <w:i/>
          <w:iCs/>
          <w:color w:val="000000"/>
          <w:sz w:val="18"/>
          <w:szCs w:val="18"/>
        </w:rPr>
        <w:t xml:space="preserve">  (Selenium (selenomethionine))</w:t>
      </w:r>
    </w:p>
    <w:p>
      <w:pPr>
        <w:spacing w:after="120"/>
      </w:pPr>
      <w:r>
        <w:rPr>
          <w:rFonts w:ascii="Roboto" w:cs="Roboto" w:eastAsia="Roboto" w:hAnsi="Roboto"/>
          <w:b/>
          <w:bCs/>
          <w:color w:val="C3AF88"/>
          <w:sz w:val="22"/>
          <w:szCs w:val="22"/>
        </w:rPr>
        <w:t xml:space="preserve">[13]</w:t>
      </w:r>
      <w:r>
        <w:rPr>
          <w:rFonts w:ascii="Roboto" w:cs="Roboto" w:eastAsia="Roboto" w:hAnsi="Roboto"/>
          <w:color w:val="000000"/>
          <w:sz w:val="22"/>
          <w:szCs w:val="22"/>
        </w:rPr>
        <w:t xml:space="preserve">  Prasad AS et al. (2004). Antioxidant effect of zinc in humans. Free Radical Biology and Medicine.</w:t>
      </w:r>
      <w:r>
        <w:rPr>
          <w:rFonts w:ascii="Roboto" w:cs="Roboto" w:eastAsia="Roboto" w:hAnsi="Roboto"/>
          <w:i/>
          <w:iCs/>
          <w:color w:val="000000"/>
          <w:sz w:val="18"/>
          <w:szCs w:val="18"/>
        </w:rPr>
        <w:t xml:space="preserve">  (Zinc citrate)</w:t>
      </w:r>
    </w:p>
    <w:p>
      <w:pPr>
        <w:spacing w:after="120"/>
      </w:pPr>
      <w:r>
        <w:rPr>
          <w:rFonts w:ascii="Roboto" w:cs="Roboto" w:eastAsia="Roboto" w:hAnsi="Roboto"/>
          <w:b/>
          <w:bCs/>
          <w:color w:val="C3AF88"/>
          <w:sz w:val="22"/>
          <w:szCs w:val="22"/>
        </w:rPr>
        <w:t xml:space="preserve">[14]</w:t>
      </w:r>
      <w:r>
        <w:rPr>
          <w:rFonts w:ascii="Roboto" w:cs="Roboto" w:eastAsia="Roboto" w:hAnsi="Roboto"/>
          <w:color w:val="000000"/>
          <w:sz w:val="22"/>
          <w:szCs w:val="22"/>
        </w:rPr>
        <w:t xml:space="preserve">  Scaglione F &amp; Panzavolta G (2014). Folate, folic acid and 5-methyltetrahydrofolate are not the same thing. Xenobiotica.</w:t>
      </w:r>
      <w:r>
        <w:rPr>
          <w:rFonts w:ascii="Roboto" w:cs="Roboto" w:eastAsia="Roboto" w:hAnsi="Roboto"/>
          <w:i/>
          <w:iCs/>
          <w:color w:val="000000"/>
          <w:sz w:val="18"/>
          <w:szCs w:val="18"/>
        </w:rPr>
        <w:t xml:space="preserve">  (Calcium folinate (folinic acid))</w:t>
      </w:r>
    </w:p>
    <w:p>
      <w:pPr>
        <w:spacing w:after="120"/>
      </w:pPr>
      <w:r>
        <w:rPr>
          <w:rFonts w:ascii="Roboto" w:cs="Roboto" w:eastAsia="Roboto" w:hAnsi="Roboto"/>
          <w:b/>
          <w:bCs/>
          <w:color w:val="C3AF88"/>
          <w:sz w:val="22"/>
          <w:szCs w:val="22"/>
        </w:rPr>
        <w:t xml:space="preserve">[15]</w:t>
      </w:r>
      <w:r>
        <w:rPr>
          <w:rFonts w:ascii="Roboto" w:cs="Roboto" w:eastAsia="Roboto" w:hAnsi="Roboto"/>
          <w:color w:val="000000"/>
          <w:sz w:val="22"/>
          <w:szCs w:val="22"/>
        </w:rPr>
        <w:t xml:space="preserve">  Paul C &amp; Brady DM (2017). Comparative bioavailability and utilization of particular forms of B12 supplements with potential to mitigate B12-related genetic polymorphisms. Integrative Medicine: A Clinician's Journal.</w:t>
      </w:r>
      <w:r>
        <w:rPr>
          <w:rFonts w:ascii="Roboto" w:cs="Roboto" w:eastAsia="Roboto" w:hAnsi="Roboto"/>
          <w:i/>
          <w:iCs/>
          <w:color w:val="000000"/>
          <w:sz w:val="18"/>
          <w:szCs w:val="18"/>
        </w:rPr>
        <w:t xml:space="preserve">  (Methylcobalamin (Vitamin B12))</w:t>
      </w:r>
    </w:p>
    <w:p>
      <w:pPr>
        <w:spacing w:after="120"/>
      </w:pPr>
      <w:r>
        <w:rPr>
          <w:rFonts w:ascii="Roboto" w:cs="Roboto" w:eastAsia="Roboto" w:hAnsi="Roboto"/>
          <w:b/>
          <w:bCs/>
          <w:color w:val="C3AF88"/>
          <w:sz w:val="22"/>
          <w:szCs w:val="22"/>
        </w:rPr>
        <w:t xml:space="preserve">[16]</w:t>
      </w:r>
      <w:r>
        <w:rPr>
          <w:rFonts w:ascii="Roboto" w:cs="Roboto" w:eastAsia="Roboto" w:hAnsi="Roboto"/>
          <w:color w:val="000000"/>
          <w:sz w:val="22"/>
          <w:szCs w:val="22"/>
        </w:rPr>
        <w:t xml:space="preserve">  McNulty H et al. (2017). Riboflavin, MTHFR genotype and blood pressure: a personalized approach to prevention and treatment of hypertension. Molecular Aspects of Medicine.</w:t>
      </w:r>
      <w:r>
        <w:rPr>
          <w:rFonts w:ascii="Roboto" w:cs="Roboto" w:eastAsia="Roboto" w:hAnsi="Roboto"/>
          <w:i/>
          <w:iCs/>
          <w:color w:val="000000"/>
          <w:sz w:val="18"/>
          <w:szCs w:val="18"/>
        </w:rPr>
        <w:t xml:space="preserve">  (Riboflavin (Vitamin B2))</w:t>
      </w:r>
    </w:p>
    <w:p>
      <w:pPr>
        <w:spacing w:after="120"/>
      </w:pPr>
      <w:r>
        <w:rPr>
          <w:rFonts w:ascii="Roboto" w:cs="Roboto" w:eastAsia="Roboto" w:hAnsi="Roboto"/>
          <w:b/>
          <w:bCs/>
          <w:color w:val="C3AF88"/>
          <w:sz w:val="22"/>
          <w:szCs w:val="22"/>
        </w:rPr>
        <w:t xml:space="preserve">[17]</w:t>
      </w:r>
      <w:r>
        <w:rPr>
          <w:rFonts w:ascii="Roboto" w:cs="Roboto" w:eastAsia="Roboto" w:hAnsi="Roboto"/>
          <w:color w:val="000000"/>
          <w:sz w:val="22"/>
          <w:szCs w:val="22"/>
        </w:rPr>
        <w:t xml:space="preserve">  McCarty MF (2000). High-dose pyridoxine as an 'anti-stress' strategy. Medical Hypotheses.</w:t>
      </w:r>
      <w:r>
        <w:rPr>
          <w:rFonts w:ascii="Roboto" w:cs="Roboto" w:eastAsia="Roboto" w:hAnsi="Roboto"/>
          <w:i/>
          <w:iCs/>
          <w:color w:val="000000"/>
          <w:sz w:val="18"/>
          <w:szCs w:val="18"/>
        </w:rPr>
        <w:t xml:space="preserve">  (Vitamin B6 (P5P))</w:t>
      </w:r>
    </w:p>
    <w:p>
      <w:pPr>
        <w:pBdr>
          <w:top w:val="single" w:color="C3AF88" w:sz="6" w:space="4"/>
        </w:pBdr>
        <w:spacing w:after="120" w:before="360"/>
      </w:pPr>
      <w:r>
        <w:rPr>
          <w:rFonts w:ascii="Roboto" w:cs="Roboto" w:eastAsia="Roboto" w:hAnsi="Roboto"/>
          <w:b/>
          <w:bCs/>
          <w:i/>
          <w:iCs/>
          <w:color w:val="000000"/>
          <w:sz w:val="18"/>
          <w:szCs w:val="18"/>
        </w:rPr>
        <w:t xml:space="preserve">Patients should not act on the contents of this document without the direct guidance of their treating practitioner.</w:t>
      </w:r>
    </w:p>
    <w:p>
      <w:pPr>
        <w:spacing w:after="60"/>
      </w:pPr>
      <w:r>
        <w:rPr>
          <w:rFonts w:ascii="Roboto" w:cs="Roboto" w:eastAsia="Roboto" w:hAnsi="Roboto"/>
          <w:i/>
          <w:iCs/>
          <w:color w:val="666666"/>
          <w:sz w:val="18"/>
          <w:szCs w:val="18"/>
        </w:rPr>
        <w:t xml:space="preserve">Submission: SUB-2026-006  •  Generated: 1 June 2026, 1:21 pm</w:t>
      </w:r>
    </w:p>
    <w:p>
      <w:pPr>
        <w:spacing w:after="60"/>
      </w:pPr>
      <w:r>
        <w:rPr>
          <w:rFonts w:ascii="Roboto" w:cs="Roboto" w:eastAsia="Roboto" w:hAnsi="Roboto"/>
          <w:i/>
          <w:iCs/>
          <w:color w:val="666666"/>
          <w:sz w:val="18"/>
          <w:szCs w:val="18"/>
        </w:rPr>
        <w:t xml:space="preserve">Audit Reference: EB90-99B4-DA5F</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Roboto" w:cs="Roboto" w:eastAsia="Roboto" w:hAnsi="Roboto"/>
        <w:color w:val="666666"/>
        <w:sz w:val="16"/>
        <w:szCs w:val="16"/>
      </w:rPr>
      <w:t xml:space="preserve">N of 1 Precision Formulation  |  SUB-2026-006  |  DRAFT — Page </w:t>
    </w:r>
    <w:r>
      <w:rPr>
        <w:rFonts w:ascii="Roboto" w:cs="Roboto" w:eastAsia="Roboto" w:hAnsi="Roboto"/>
        <w:color w:val="666666"/>
        <w:sz w:val="16"/>
        <w:szCs w:val="16"/>
      </w:rPr>
      <w:fldChar w:fldCharType="begin"/>
      <w:instrText xml:space="preserve">PAGE</w:instrText>
      <w:fldChar w:fldCharType="separate"/>
      <w:fldChar w:fldCharType="end"/>
    </w:r>
    <w:r>
      <w:rPr>
        <w:rFonts w:ascii="Roboto" w:cs="Roboto" w:eastAsia="Roboto" w:hAnsi="Roboto"/>
        <w:color w:val="666666"/>
        <w:sz w:val="16"/>
        <w:szCs w:val="16"/>
      </w:rPr>
      <w:t xml:space="preserve"> of </w:t>
    </w:r>
    <w:r>
      <w:rPr>
        <w:rFonts w:ascii="Roboto" w:cs="Roboto" w:eastAsia="Roboto" w:hAnsi="Roboto"/>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a66d48eaf0c05f3b2f313fea30ee617ddf5b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2026-06-01T03:45:40.474Z</dcterms:created>
  <dcterms:modified xsi:type="dcterms:W3CDTF">2026-06-01T03:45:40.474Z</dcterms:modified>
</cp:coreProperties>
</file>

<file path=docProps/custom.xml><?xml version="1.0" encoding="utf-8"?>
<Properties xmlns="http://schemas.openxmlformats.org/officeDocument/2006/custom-properties" xmlns:vt="http://schemas.openxmlformats.org/officeDocument/2006/docPropsVTypes"/>
</file>