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750F" w14:textId="77777777" w:rsidR="00DF6AF9" w:rsidRDefault="00DF6AF9">
      <w:pPr>
        <w:widowControl w:val="0"/>
        <w:pBdr>
          <w:top w:val="nil"/>
          <w:left w:val="nil"/>
          <w:bottom w:val="nil"/>
          <w:right w:val="nil"/>
          <w:between w:val="nil"/>
        </w:pBdr>
        <w:spacing w:line="276" w:lineRule="auto"/>
      </w:pPr>
    </w:p>
    <w:p w14:paraId="4F27B590" w14:textId="77777777" w:rsidR="00DF6AF9" w:rsidRDefault="00DF6AF9"/>
    <w:p w14:paraId="416D2B7B" w14:textId="77777777" w:rsidR="00DF6AF9" w:rsidRDefault="003F7D0D">
      <w:pPr>
        <w:jc w:val="center"/>
        <w:rPr>
          <w:rFonts w:ascii="Arial" w:eastAsia="Arial" w:hAnsi="Arial" w:cs="Arial"/>
          <w:b/>
          <w:color w:val="000000"/>
          <w:sz w:val="22"/>
          <w:szCs w:val="22"/>
        </w:rPr>
      </w:pPr>
      <w:r>
        <w:rPr>
          <w:rFonts w:ascii="Aparajita" w:eastAsia="Aparajita" w:hAnsi="Aparajita" w:cs="Aparajita"/>
        </w:rPr>
        <w:t>CONTENIDO</w:t>
      </w:r>
    </w:p>
    <w:p w14:paraId="1429E32E" w14:textId="77777777" w:rsidR="00DF6AF9" w:rsidRDefault="00DF6AF9">
      <w:pPr>
        <w:jc w:val="center"/>
        <w:rPr>
          <w:rFonts w:ascii="Arial" w:eastAsia="Arial" w:hAnsi="Arial" w:cs="Arial"/>
          <w:b/>
          <w:color w:val="000000"/>
          <w:sz w:val="22"/>
          <w:szCs w:val="22"/>
        </w:rPr>
      </w:pPr>
    </w:p>
    <w:p w14:paraId="25FD18DB" w14:textId="77777777" w:rsidR="00DF6AF9" w:rsidRDefault="003F7D0D">
      <w:pPr>
        <w:spacing w:line="276" w:lineRule="auto"/>
        <w:jc w:val="center"/>
        <w:rPr>
          <w:rFonts w:ascii="Arial" w:eastAsia="Arial" w:hAnsi="Arial" w:cs="Arial"/>
          <w:b/>
          <w:color w:val="000000"/>
          <w:sz w:val="22"/>
          <w:szCs w:val="22"/>
        </w:rPr>
        <w:sectPr w:rsidR="00DF6AF9">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276" w:header="720" w:footer="431" w:gutter="0"/>
          <w:pgNumType w:start="1"/>
          <w:cols w:space="720"/>
          <w:titlePg/>
        </w:sectPr>
      </w:pPr>
      <w:r>
        <w:rPr>
          <w:rFonts w:ascii="Arial" w:eastAsia="Arial" w:hAnsi="Arial" w:cs="Arial"/>
          <w:b/>
          <w:color w:val="000000"/>
          <w:sz w:val="22"/>
          <w:szCs w:val="22"/>
        </w:rPr>
        <w:tab/>
      </w:r>
    </w:p>
    <w:p w14:paraId="79AF456C" w14:textId="77777777" w:rsidR="00DF6AF9" w:rsidRDefault="003F7D0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b/>
          <w:color w:val="000000"/>
          <w:sz w:val="20"/>
          <w:szCs w:val="20"/>
        </w:rPr>
        <w:t>I. INTRODUCCIÓN</w:t>
      </w:r>
      <w:r>
        <w:rPr>
          <w:rFonts w:ascii="Arial" w:eastAsia="Arial" w:hAnsi="Arial" w:cs="Arial"/>
          <w:color w:val="000000"/>
          <w:sz w:val="20"/>
          <w:szCs w:val="20"/>
        </w:rPr>
        <w:tab/>
        <w:t>3</w:t>
      </w:r>
    </w:p>
    <w:p w14:paraId="54074575" w14:textId="77777777" w:rsidR="00DF6AF9" w:rsidRDefault="003F7D0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b/>
          <w:color w:val="000000"/>
          <w:sz w:val="20"/>
          <w:szCs w:val="20"/>
        </w:rPr>
        <w:t>II. ALCANCE Y REFERENCIAS NORMATIVAS</w:t>
      </w:r>
      <w:r>
        <w:rPr>
          <w:rFonts w:ascii="Arial" w:eastAsia="Arial" w:hAnsi="Arial" w:cs="Arial"/>
          <w:color w:val="000000"/>
          <w:sz w:val="20"/>
          <w:szCs w:val="20"/>
        </w:rPr>
        <w:tab/>
        <w:t>3</w:t>
      </w:r>
    </w:p>
    <w:p w14:paraId="360071D8" w14:textId="77777777" w:rsidR="00DF6AF9" w:rsidRDefault="003F7D0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b/>
          <w:color w:val="000000"/>
          <w:sz w:val="20"/>
          <w:szCs w:val="20"/>
        </w:rPr>
        <w:t>III. TÉRMINOS Y DEFINICIONES</w:t>
      </w:r>
      <w:r>
        <w:rPr>
          <w:rFonts w:ascii="Arial" w:eastAsia="Arial" w:hAnsi="Arial" w:cs="Arial"/>
          <w:color w:val="000000"/>
          <w:sz w:val="20"/>
          <w:szCs w:val="20"/>
        </w:rPr>
        <w:tab/>
        <w:t>4</w:t>
      </w:r>
    </w:p>
    <w:p w14:paraId="4A1C4B3A" w14:textId="77777777" w:rsidR="00DF6AF9" w:rsidRDefault="003F7D0D">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b/>
          <w:sz w:val="20"/>
          <w:szCs w:val="20"/>
        </w:rPr>
        <w:t>IDENTIFICACIÓN</w:t>
      </w:r>
      <w:r>
        <w:rPr>
          <w:rFonts w:ascii="Arial" w:eastAsia="Arial" w:hAnsi="Arial" w:cs="Arial"/>
          <w:b/>
          <w:color w:val="000000"/>
          <w:sz w:val="20"/>
          <w:szCs w:val="20"/>
        </w:rPr>
        <w:t xml:space="preserve"> DE CAMBIOS</w:t>
      </w:r>
      <w:r>
        <w:rPr>
          <w:rFonts w:ascii="Arial" w:eastAsia="Arial" w:hAnsi="Arial" w:cs="Arial"/>
          <w:color w:val="000000"/>
          <w:sz w:val="20"/>
          <w:szCs w:val="20"/>
        </w:rPr>
        <w:tab/>
        <w:t>9</w:t>
      </w:r>
    </w:p>
    <w:p w14:paraId="3A7ECF28" w14:textId="77777777" w:rsidR="00DF6AF9" w:rsidRDefault="00DF6AF9">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p>
    <w:p w14:paraId="2DDDF844" w14:textId="77777777" w:rsidR="00DF6AF9" w:rsidRDefault="00DF6AF9"/>
    <w:p w14:paraId="378A0E2A" w14:textId="77777777" w:rsidR="00DF6AF9" w:rsidRDefault="00DF6AF9"/>
    <w:p w14:paraId="464E2358" w14:textId="77777777" w:rsidR="00DF6AF9" w:rsidRDefault="00DF6AF9"/>
    <w:p w14:paraId="3EAEC8C0" w14:textId="77777777" w:rsidR="00DF6AF9" w:rsidRDefault="00DF6AF9"/>
    <w:p w14:paraId="52584929" w14:textId="77777777" w:rsidR="00DF6AF9" w:rsidRDefault="00DF6AF9"/>
    <w:p w14:paraId="1FFB9AD0" w14:textId="77777777" w:rsidR="00DF6AF9" w:rsidRDefault="00DF6AF9"/>
    <w:p w14:paraId="126EED24" w14:textId="77777777" w:rsidR="00DF6AF9" w:rsidRDefault="00DF6AF9"/>
    <w:p w14:paraId="448C2DCF" w14:textId="77777777" w:rsidR="00DF6AF9" w:rsidRDefault="00DF6AF9"/>
    <w:p w14:paraId="50C62CB9" w14:textId="77777777" w:rsidR="00DF6AF9" w:rsidRDefault="00DF6AF9"/>
    <w:p w14:paraId="5DAE9CD5" w14:textId="77777777" w:rsidR="00DF6AF9" w:rsidRDefault="00DF6AF9"/>
    <w:p w14:paraId="0EC3793D" w14:textId="77777777" w:rsidR="00DF6AF9" w:rsidRDefault="00DF6AF9"/>
    <w:p w14:paraId="7C0ED52D" w14:textId="77777777" w:rsidR="00DF6AF9" w:rsidRDefault="00DF6AF9"/>
    <w:p w14:paraId="60150C24" w14:textId="77777777" w:rsidR="00DF6AF9" w:rsidRDefault="00DF6AF9"/>
    <w:p w14:paraId="227FB764" w14:textId="77777777" w:rsidR="00DF6AF9" w:rsidRDefault="00DF6AF9"/>
    <w:p w14:paraId="18AB49E7" w14:textId="77777777" w:rsidR="00DF6AF9" w:rsidRDefault="00DF6AF9"/>
    <w:p w14:paraId="7E3EDCD6" w14:textId="77777777" w:rsidR="00DF6AF9" w:rsidRDefault="00DF6AF9"/>
    <w:p w14:paraId="4CAAE73E" w14:textId="77777777" w:rsidR="00DF6AF9" w:rsidRDefault="00DF6AF9"/>
    <w:p w14:paraId="537605C5" w14:textId="77777777" w:rsidR="00DF6AF9" w:rsidRDefault="00DF6AF9"/>
    <w:p w14:paraId="71C84502" w14:textId="77777777" w:rsidR="00DF6AF9" w:rsidRDefault="00DF6AF9"/>
    <w:p w14:paraId="2B0C53E4" w14:textId="77777777" w:rsidR="00DF6AF9" w:rsidRDefault="00DF6AF9">
      <w:pPr>
        <w:sectPr w:rsidR="00DF6AF9">
          <w:type w:val="continuous"/>
          <w:pgSz w:w="12240" w:h="15840"/>
          <w:pgMar w:top="1418" w:right="1134" w:bottom="1134" w:left="1276" w:header="720" w:footer="431" w:gutter="0"/>
          <w:cols w:space="720"/>
          <w:titlePg/>
        </w:sectPr>
      </w:pPr>
    </w:p>
    <w:p w14:paraId="12FB168A" w14:textId="77777777" w:rsidR="00DF6AF9" w:rsidRDefault="00DF6AF9">
      <w:pPr>
        <w:spacing w:line="276" w:lineRule="auto"/>
        <w:jc w:val="center"/>
        <w:rPr>
          <w:rFonts w:ascii="Arial" w:eastAsia="Arial" w:hAnsi="Arial" w:cs="Arial"/>
          <w:b/>
          <w:color w:val="000000"/>
          <w:sz w:val="22"/>
          <w:szCs w:val="22"/>
        </w:rPr>
      </w:pPr>
    </w:p>
    <w:p w14:paraId="459C7543" w14:textId="77777777" w:rsidR="00DF6AF9" w:rsidRDefault="003F7D0D">
      <w:pPr>
        <w:rPr>
          <w:rFonts w:ascii="Arial" w:eastAsia="Arial" w:hAnsi="Arial" w:cs="Arial"/>
          <w:b/>
          <w:color w:val="000000"/>
          <w:sz w:val="22"/>
          <w:szCs w:val="22"/>
        </w:rPr>
      </w:pPr>
      <w:r>
        <w:br w:type="page"/>
      </w:r>
    </w:p>
    <w:p w14:paraId="1E4B6FF9" w14:textId="77777777" w:rsidR="00DF6AF9" w:rsidRDefault="003F7D0D">
      <w:pPr>
        <w:tabs>
          <w:tab w:val="left" w:pos="284"/>
        </w:tabs>
        <w:spacing w:after="160"/>
        <w:jc w:val="both"/>
        <w:rPr>
          <w:rFonts w:ascii="Arial" w:eastAsia="Arial" w:hAnsi="Arial" w:cs="Arial"/>
          <w:b/>
          <w:sz w:val="22"/>
          <w:szCs w:val="22"/>
        </w:rPr>
      </w:pPr>
      <w:r>
        <w:rPr>
          <w:rFonts w:ascii="Arial" w:eastAsia="Arial" w:hAnsi="Arial" w:cs="Arial"/>
          <w:b/>
          <w:sz w:val="22"/>
          <w:szCs w:val="22"/>
        </w:rPr>
        <w:lastRenderedPageBreak/>
        <w:t>I. INTRODUCCIÓN</w:t>
      </w:r>
    </w:p>
    <w:p w14:paraId="4F1354C2" w14:textId="77777777" w:rsidR="00DF6AF9" w:rsidRDefault="003F7D0D">
      <w:pPr>
        <w:jc w:val="both"/>
        <w:rPr>
          <w:rFonts w:ascii="Arial" w:eastAsia="Arial" w:hAnsi="Arial" w:cs="Arial"/>
          <w:sz w:val="22"/>
          <w:szCs w:val="22"/>
        </w:rPr>
      </w:pPr>
      <w:r>
        <w:rPr>
          <w:rFonts w:ascii="Arial" w:eastAsia="Arial" w:hAnsi="Arial" w:cs="Arial"/>
          <w:sz w:val="22"/>
          <w:szCs w:val="22"/>
        </w:rPr>
        <w:t>El presente Manual de Administración, establece los requisitos, políticas, directrices, procedimientos y registros de conformidad, basados en la DISPOSICIONES administrativas de carácter general que establecen los Lineamientos para la conformación, implementación y autorización de los Sistemas de Administración de Seguridad Industrial, Seguridad Operativa y Protección al Medio Ambiente aplicables a las actividades de Expendio al Público de Gas Natural, Distribución y Expendio al Público de Gas Licuado de Petróleo y de Petrolíferos.</w:t>
      </w:r>
    </w:p>
    <w:p w14:paraId="33A7843F" w14:textId="77777777" w:rsidR="00DF6AF9" w:rsidRDefault="00DF6AF9">
      <w:pPr>
        <w:rPr>
          <w:rFonts w:ascii="Arial" w:eastAsia="Arial" w:hAnsi="Arial" w:cs="Arial"/>
          <w:sz w:val="22"/>
          <w:szCs w:val="22"/>
        </w:rPr>
      </w:pPr>
    </w:p>
    <w:p w14:paraId="3C8942B3" w14:textId="77777777" w:rsidR="00DF6AF9" w:rsidRDefault="003F7D0D">
      <w:pPr>
        <w:tabs>
          <w:tab w:val="left" w:pos="284"/>
        </w:tabs>
        <w:spacing w:after="160"/>
        <w:jc w:val="both"/>
        <w:rPr>
          <w:rFonts w:ascii="Arial" w:eastAsia="Arial" w:hAnsi="Arial" w:cs="Arial"/>
          <w:sz w:val="22"/>
          <w:szCs w:val="22"/>
        </w:rPr>
      </w:pPr>
      <w:r>
        <w:rPr>
          <w:rFonts w:ascii="Arial" w:eastAsia="Arial" w:hAnsi="Arial" w:cs="Arial"/>
          <w:sz w:val="22"/>
          <w:szCs w:val="22"/>
        </w:rPr>
        <w:t>Este Manual de Administración contiene también los criterios de aplicación de las DISPOSICIONES administrativas de carácter general que establecen los Lineamientos para la conformación, implementación y autorización de los Sistemas de Administración de Seguridad Industrial, Seguridad Operativa y Protección al Medio Ambiente aplicables a las actividades de Expendio al Público de Gas Natural, Distribución y Expendio al Público de Gas Licuado de Petróleo y de Petrolíferos.</w:t>
      </w:r>
    </w:p>
    <w:p w14:paraId="78D09062" w14:textId="09907EE7" w:rsidR="00DF6AF9" w:rsidRPr="005F78B8" w:rsidRDefault="00A47186" w:rsidP="005F78B8">
      <w:pPr>
        <w:jc w:val="center"/>
        <w:rPr>
          <w:rFonts w:ascii="Aparajita" w:eastAsia="Aparajita" w:hAnsi="Aparajita" w:cs="Aparajita"/>
          <w:b/>
          <w:sz w:val="21"/>
          <w:szCs w:val="21"/>
        </w:rPr>
      </w:pPr>
      <w:r w:rsidRPr="00AD71B9">
        <w:rPr>
          <w:rFonts w:ascii="Aparajita" w:eastAsia="Aparajita" w:hAnsi="Aparajita" w:cs="Aparajita"/>
          <w:b/>
          <w:sz w:val="24"/>
          <w:szCs w:val="24"/>
          <w:highlight w:val="yellow"/>
        </w:rPr>
        <w:t>Superservicio Cuatro Caminos S.A. de C.V.</w:t>
      </w:r>
      <w:r w:rsidR="003F7D0D">
        <w:rPr>
          <w:rFonts w:ascii="Arial" w:eastAsia="Arial" w:hAnsi="Arial" w:cs="Arial"/>
          <w:sz w:val="22"/>
          <w:szCs w:val="22"/>
        </w:rPr>
        <w:t>, es una organización privada e independiente, autónoma en su operación.</w:t>
      </w:r>
    </w:p>
    <w:p w14:paraId="74400B1D" w14:textId="684590C6" w:rsidR="00DF6AF9" w:rsidRPr="005F78B8" w:rsidRDefault="003F7D0D" w:rsidP="005F78B8">
      <w:pPr>
        <w:jc w:val="center"/>
        <w:rPr>
          <w:rFonts w:ascii="Aparajita" w:eastAsia="Aparajita" w:hAnsi="Aparajita" w:cs="Aparajita"/>
          <w:b/>
          <w:sz w:val="21"/>
          <w:szCs w:val="21"/>
        </w:rPr>
      </w:pPr>
      <w:r>
        <w:rPr>
          <w:rFonts w:ascii="Arial" w:eastAsia="Arial" w:hAnsi="Arial" w:cs="Arial"/>
          <w:sz w:val="22"/>
          <w:szCs w:val="22"/>
        </w:rPr>
        <w:t xml:space="preserve">Es una persona </w:t>
      </w:r>
      <w:r w:rsidR="002C49C3">
        <w:rPr>
          <w:rFonts w:ascii="Arial" w:eastAsia="Arial" w:hAnsi="Arial" w:cs="Arial"/>
          <w:sz w:val="22"/>
          <w:szCs w:val="22"/>
        </w:rPr>
        <w:t>moral</w:t>
      </w:r>
      <w:r>
        <w:rPr>
          <w:rFonts w:ascii="Arial" w:eastAsia="Arial" w:hAnsi="Arial" w:cs="Arial"/>
          <w:sz w:val="22"/>
          <w:szCs w:val="22"/>
        </w:rPr>
        <w:t xml:space="preserve"> legalmente constituida de conformidad con las Leyes de la República Mexicana, con el nombre de </w:t>
      </w:r>
      <w:r w:rsidR="00A47186" w:rsidRPr="00AD71B9">
        <w:rPr>
          <w:rFonts w:ascii="Aparajita" w:eastAsia="Aparajita" w:hAnsi="Aparajita" w:cs="Aparajita"/>
          <w:b/>
          <w:sz w:val="24"/>
          <w:szCs w:val="24"/>
          <w:highlight w:val="yellow"/>
        </w:rPr>
        <w:t>Superservicio Cuatro Caminos S.A. de C.V.</w:t>
      </w:r>
      <w:r>
        <w:rPr>
          <w:rFonts w:ascii="Arial" w:eastAsia="Arial" w:hAnsi="Arial" w:cs="Arial"/>
          <w:sz w:val="22"/>
          <w:szCs w:val="22"/>
        </w:rPr>
        <w:t>, lo cual se acredita mediante Registro Federal de Contribuyentes (</w:t>
      </w:r>
      <w:r w:rsidR="00A47186" w:rsidRPr="00AD71B9">
        <w:rPr>
          <w:rFonts w:ascii="Arial" w:eastAsia="Arial" w:hAnsi="Arial" w:cs="Arial"/>
          <w:color w:val="000000"/>
          <w:sz w:val="22"/>
          <w:szCs w:val="22"/>
          <w:highlight w:val="yellow"/>
        </w:rPr>
        <w:t>SCC940928636</w:t>
      </w:r>
      <w:r>
        <w:rPr>
          <w:rFonts w:ascii="Arial" w:eastAsia="Arial" w:hAnsi="Arial" w:cs="Arial"/>
          <w:sz w:val="22"/>
          <w:szCs w:val="22"/>
        </w:rPr>
        <w:t xml:space="preserve">). </w:t>
      </w:r>
    </w:p>
    <w:p w14:paraId="57F76021" w14:textId="77777777" w:rsidR="00DF6AF9" w:rsidRDefault="00DF6AF9">
      <w:pPr>
        <w:spacing w:after="160"/>
        <w:jc w:val="both"/>
        <w:rPr>
          <w:rFonts w:ascii="Arial" w:eastAsia="Arial" w:hAnsi="Arial" w:cs="Arial"/>
          <w:b/>
          <w:sz w:val="22"/>
          <w:szCs w:val="22"/>
        </w:rPr>
      </w:pPr>
    </w:p>
    <w:p w14:paraId="482FB0EC" w14:textId="77777777" w:rsidR="00DF6AF9" w:rsidRDefault="003F7D0D">
      <w:pPr>
        <w:spacing w:after="160"/>
        <w:jc w:val="both"/>
        <w:rPr>
          <w:rFonts w:ascii="Arial" w:eastAsia="Arial" w:hAnsi="Arial" w:cs="Arial"/>
          <w:b/>
          <w:sz w:val="22"/>
          <w:szCs w:val="22"/>
        </w:rPr>
      </w:pPr>
      <w:r>
        <w:rPr>
          <w:rFonts w:ascii="Arial" w:eastAsia="Arial" w:hAnsi="Arial" w:cs="Arial"/>
          <w:b/>
          <w:sz w:val="22"/>
          <w:szCs w:val="22"/>
        </w:rPr>
        <w:t>II. ALCANCE Y REFERENCIAS NORMATIVAS</w:t>
      </w:r>
    </w:p>
    <w:p w14:paraId="68A32CE4" w14:textId="77777777" w:rsidR="00DF6AF9" w:rsidRDefault="003F7D0D">
      <w:pPr>
        <w:tabs>
          <w:tab w:val="left" w:pos="709"/>
        </w:tabs>
        <w:spacing w:after="160"/>
        <w:rPr>
          <w:rFonts w:ascii="Arial" w:eastAsia="Arial" w:hAnsi="Arial" w:cs="Arial"/>
          <w:b/>
          <w:sz w:val="22"/>
          <w:szCs w:val="22"/>
        </w:rPr>
      </w:pPr>
      <w:r>
        <w:rPr>
          <w:rFonts w:ascii="Arial" w:eastAsia="Arial" w:hAnsi="Arial" w:cs="Arial"/>
          <w:b/>
          <w:sz w:val="22"/>
          <w:szCs w:val="22"/>
        </w:rPr>
        <w:t>Alcance</w:t>
      </w:r>
    </w:p>
    <w:p w14:paraId="56FE1AE4" w14:textId="77777777" w:rsidR="00DF6AF9" w:rsidRDefault="003F7D0D">
      <w:pPr>
        <w:tabs>
          <w:tab w:val="left" w:pos="709"/>
        </w:tabs>
        <w:spacing w:after="160"/>
        <w:jc w:val="both"/>
        <w:rPr>
          <w:rFonts w:ascii="Arial" w:eastAsia="Arial" w:hAnsi="Arial" w:cs="Arial"/>
          <w:sz w:val="22"/>
          <w:szCs w:val="22"/>
        </w:rPr>
      </w:pPr>
      <w:r>
        <w:rPr>
          <w:rFonts w:ascii="Arial" w:eastAsia="Arial" w:hAnsi="Arial" w:cs="Arial"/>
          <w:sz w:val="22"/>
          <w:szCs w:val="22"/>
        </w:rPr>
        <w:t xml:space="preserve">El Manual de Administración de la Estación de Servicio tiene como propósito elaborar, implementar, operar, mantener y vigilar de manera eficiente y adecuada un Sistema de Administración conforme a la DACG. </w:t>
      </w:r>
    </w:p>
    <w:p w14:paraId="6D5A8487" w14:textId="77777777" w:rsidR="00DF6AF9" w:rsidRDefault="003F7D0D">
      <w:pPr>
        <w:tabs>
          <w:tab w:val="left" w:pos="284"/>
          <w:tab w:val="left" w:pos="709"/>
        </w:tabs>
        <w:spacing w:after="160"/>
        <w:jc w:val="both"/>
        <w:rPr>
          <w:rFonts w:ascii="Arial" w:eastAsia="Arial" w:hAnsi="Arial" w:cs="Arial"/>
          <w:b/>
          <w:sz w:val="22"/>
          <w:szCs w:val="22"/>
        </w:rPr>
      </w:pPr>
      <w:r>
        <w:rPr>
          <w:rFonts w:ascii="Arial" w:eastAsia="Arial" w:hAnsi="Arial" w:cs="Arial"/>
          <w:b/>
          <w:sz w:val="22"/>
          <w:szCs w:val="22"/>
        </w:rPr>
        <w:t>Referencias normativas</w:t>
      </w:r>
    </w:p>
    <w:p w14:paraId="449B17DE"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DISPOSICIONES administrativas de carácter general que establecen los Lineamientos para la conformación, implementación y autorización de los Sistemas de Administración de Seguridad Industrial, Seguridad Operativa y Protección al Medio Ambiente aplicables a las actividades de Expendio al Público de Gas Natural, Distribución y Expendio al Público de Gas Licuado de Petróleo y de Petrolíferos.</w:t>
      </w:r>
    </w:p>
    <w:p w14:paraId="0CEF7DFD"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NMX-SAA-14001-IMNC-2015 SISTEMAS DE GESTIÓN AMBIENTAL – REQUISITOS CON ORIENTACIÓN PARA SU USO.</w:t>
      </w:r>
    </w:p>
    <w:p w14:paraId="5AC0FA52"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Norma Internacional ISO 9001:2015 Sistemas de Gestión de Calidad-Requisitos, equivalente a la norma nacional NMX-CC-9001-IMNC-2015.</w:t>
      </w:r>
    </w:p>
    <w:p w14:paraId="38500A75" w14:textId="77777777" w:rsidR="00DF6AF9" w:rsidRDefault="003F7D0D">
      <w:pPr>
        <w:numPr>
          <w:ilvl w:val="0"/>
          <w:numId w:val="1"/>
        </w:numPr>
        <w:pBdr>
          <w:top w:val="nil"/>
          <w:left w:val="nil"/>
          <w:bottom w:val="nil"/>
          <w:right w:val="nil"/>
          <w:between w:val="nil"/>
        </w:pBdr>
        <w:tabs>
          <w:tab w:val="left" w:pos="284"/>
          <w:tab w:val="left" w:pos="709"/>
        </w:tabs>
        <w:spacing w:after="160"/>
        <w:ind w:left="0"/>
        <w:rPr>
          <w:rFonts w:ascii="Arial" w:eastAsia="Arial" w:hAnsi="Arial" w:cs="Arial"/>
          <w:color w:val="000000"/>
          <w:sz w:val="22"/>
          <w:szCs w:val="22"/>
        </w:rPr>
      </w:pPr>
      <w:r>
        <w:rPr>
          <w:rFonts w:ascii="Arial" w:eastAsia="Arial" w:hAnsi="Arial" w:cs="Arial"/>
          <w:color w:val="000000"/>
          <w:sz w:val="22"/>
          <w:szCs w:val="22"/>
        </w:rPr>
        <w:t>Ley Federal Sobre Metrología y Normalización y su Reglamento.</w:t>
      </w:r>
    </w:p>
    <w:p w14:paraId="71AE0F34"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Ley de la Agencia Nacional de Seguridad Industrial y de Protección al Medio Ambiente del Sector Hidrocarburos.</w:t>
      </w:r>
    </w:p>
    <w:p w14:paraId="3D8A42E4"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DECRETO por el que se expide la Ley de Hidrocarburos y se reforman diversas disposiciones de la Ley de Inversión Extranjera; Ley Minera, y Ley de Asociaciones Público-Privadas.</w:t>
      </w:r>
    </w:p>
    <w:p w14:paraId="7C34E82F"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Ley General para la Prevención y Gestión Integral de los Residuos</w:t>
      </w:r>
    </w:p>
    <w:p w14:paraId="14BC5E98"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DISPOSICIONES administrativas de carácter general que establecen los Lineamientos para Informar la ocurrencia de incidentes y accidentes a la Agencia Nacional de Seguridad Industrial y de Protección al Medio Ambiente del Sector Hidrocarburos.</w:t>
      </w:r>
    </w:p>
    <w:p w14:paraId="1985A917" w14:textId="77777777" w:rsidR="00DF6AF9" w:rsidRDefault="003F7D0D">
      <w:pPr>
        <w:numPr>
          <w:ilvl w:val="0"/>
          <w:numId w:val="1"/>
        </w:numPr>
        <w:pBdr>
          <w:top w:val="nil"/>
          <w:left w:val="nil"/>
          <w:bottom w:val="nil"/>
          <w:right w:val="nil"/>
          <w:between w:val="nil"/>
        </w:pBdr>
        <w:tabs>
          <w:tab w:val="left" w:pos="284"/>
          <w:tab w:val="left" w:pos="709"/>
        </w:tabs>
        <w:spacing w:after="160"/>
        <w:ind w:left="0"/>
        <w:jc w:val="both"/>
        <w:rPr>
          <w:rFonts w:ascii="Arial" w:eastAsia="Arial" w:hAnsi="Arial" w:cs="Arial"/>
          <w:color w:val="000000"/>
          <w:sz w:val="22"/>
          <w:szCs w:val="22"/>
        </w:rPr>
      </w:pPr>
      <w:r>
        <w:rPr>
          <w:rFonts w:ascii="Arial" w:eastAsia="Arial" w:hAnsi="Arial" w:cs="Arial"/>
          <w:color w:val="000000"/>
          <w:sz w:val="22"/>
          <w:szCs w:val="22"/>
        </w:rPr>
        <w:t>DISPOSICIONES administrativas de carácter general que establecen los Lineamientos para llevar a cabo las Auditorías Externas a la operación y el desempeño de los Sistemas de Administración de Seguridad Industrial, Seguridad Operativa y Protección al Medio Ambiente aplicables a las actividades del Sector Hidrocarburos.</w:t>
      </w:r>
    </w:p>
    <w:p w14:paraId="24FF7663" w14:textId="06327404" w:rsidR="00DF6AF9" w:rsidRDefault="003F7D0D" w:rsidP="00A47186">
      <w:pPr>
        <w:tabs>
          <w:tab w:val="left" w:pos="284"/>
        </w:tabs>
        <w:rPr>
          <w:rFonts w:ascii="Arial" w:eastAsia="Arial" w:hAnsi="Arial" w:cs="Arial"/>
          <w:b/>
          <w:sz w:val="22"/>
          <w:szCs w:val="22"/>
        </w:rPr>
      </w:pPr>
      <w:r>
        <w:rPr>
          <w:rFonts w:ascii="Arial" w:eastAsia="Arial" w:hAnsi="Arial" w:cs="Arial"/>
          <w:b/>
          <w:sz w:val="22"/>
          <w:szCs w:val="22"/>
        </w:rPr>
        <w:t>III. TÉRMINOS Y DEFINICIONES</w:t>
      </w:r>
    </w:p>
    <w:p w14:paraId="776D85C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color w:val="000000"/>
          <w:sz w:val="22"/>
          <w:szCs w:val="22"/>
        </w:rPr>
        <w:t xml:space="preserve">Para el propósito de este Manual de Administración se aplican las siguientes definiciones: </w:t>
      </w:r>
    </w:p>
    <w:p w14:paraId="3FB2575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Accidente: </w:t>
      </w:r>
      <w:r>
        <w:rPr>
          <w:rFonts w:ascii="Arial" w:eastAsia="Arial" w:hAnsi="Arial" w:cs="Arial"/>
          <w:color w:val="000000"/>
          <w:sz w:val="22"/>
          <w:szCs w:val="22"/>
        </w:rPr>
        <w:t>Evento que ocasiona afectaciones al personal, a la población, a los bienes propiedad de la Nación, a los equipos e instalaciones, a los sistemas y/o procesos operativos y al medio ambiente.</w:t>
      </w:r>
    </w:p>
    <w:p w14:paraId="37CDB76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4"/>
          <w:szCs w:val="24"/>
        </w:rPr>
      </w:pPr>
      <w:r>
        <w:rPr>
          <w:rFonts w:ascii="Arial" w:eastAsia="Arial" w:hAnsi="Arial" w:cs="Arial"/>
          <w:b/>
          <w:color w:val="000000"/>
          <w:sz w:val="22"/>
          <w:szCs w:val="22"/>
        </w:rPr>
        <w:t>Actividad rutinaria</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color w:val="000000"/>
          <w:sz w:val="22"/>
          <w:szCs w:val="22"/>
        </w:rPr>
        <w:t>Actividad que forma parte de un proceso de la organización, se ha planificado y es estandarizable.</w:t>
      </w:r>
    </w:p>
    <w:p w14:paraId="6A014AC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Actividad no rutinaria</w:t>
      </w:r>
      <w:r>
        <w:rPr>
          <w:rFonts w:ascii="Arial" w:eastAsia="Arial" w:hAnsi="Arial" w:cs="Arial"/>
          <w:b/>
          <w:color w:val="000000"/>
          <w:sz w:val="24"/>
          <w:szCs w:val="24"/>
        </w:rPr>
        <w:t>:</w:t>
      </w:r>
      <w:r>
        <w:rPr>
          <w:rFonts w:ascii="Arial" w:eastAsia="Arial" w:hAnsi="Arial" w:cs="Arial"/>
          <w:color w:val="000000"/>
          <w:sz w:val="24"/>
          <w:szCs w:val="24"/>
        </w:rPr>
        <w:t xml:space="preserve"> </w:t>
      </w:r>
      <w:r>
        <w:rPr>
          <w:rFonts w:ascii="Arial" w:eastAsia="Arial" w:hAnsi="Arial" w:cs="Arial"/>
          <w:color w:val="000000"/>
          <w:sz w:val="22"/>
          <w:szCs w:val="22"/>
        </w:rPr>
        <w:t>Actividad que no se ha planificado ni estandarizado dentro de un proceso de la organización o actividad que ha criterio de la organización por su baja frecuencia de ejecución la determine como no rutinaria.</w:t>
      </w:r>
    </w:p>
    <w:p w14:paraId="4E9F5B4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Acto inseguro:</w:t>
      </w:r>
      <w:r>
        <w:rPr>
          <w:rFonts w:ascii="Arial" w:eastAsia="Arial" w:hAnsi="Arial" w:cs="Arial"/>
          <w:color w:val="000000"/>
          <w:sz w:val="22"/>
          <w:szCs w:val="22"/>
        </w:rPr>
        <w:t xml:space="preserve"> Son las fallas, olvidos, errores u omisiones que hacen las personas al realizar un trabajo, tarea o actividad y que pudieran ponerlas en riesgo de sufrir un accidente.</w:t>
      </w:r>
    </w:p>
    <w:p w14:paraId="527DDDEE"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Alcance de la Auditoría:</w:t>
      </w:r>
      <w:r>
        <w:rPr>
          <w:rFonts w:ascii="Arial" w:eastAsia="Arial" w:hAnsi="Arial" w:cs="Arial"/>
          <w:color w:val="000000"/>
          <w:sz w:val="22"/>
          <w:szCs w:val="22"/>
        </w:rPr>
        <w:t xml:space="preserve"> Extensión y límites de la Auditoría Externa.</w:t>
      </w:r>
    </w:p>
    <w:p w14:paraId="41B7C83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Análisis de Riesgo</w:t>
      </w:r>
      <w:r>
        <w:rPr>
          <w:rFonts w:ascii="Arial" w:eastAsia="Arial" w:hAnsi="Arial" w:cs="Arial"/>
          <w:color w:val="000000"/>
          <w:sz w:val="22"/>
          <w:szCs w:val="22"/>
        </w:rPr>
        <w:t>: La aplicación de uno o más métodos específicos para identificar, analizar, evaluar y generar alternativas de mitigación y control de los riesgos significativos asociados con equipos críticos y con los procesos.</w:t>
      </w:r>
    </w:p>
    <w:p w14:paraId="42885D70"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Aspecto Ambiental</w:t>
      </w:r>
      <w:r>
        <w:rPr>
          <w:rFonts w:ascii="Arial" w:eastAsia="Arial" w:hAnsi="Arial" w:cs="Arial"/>
          <w:color w:val="000000"/>
          <w:sz w:val="22"/>
          <w:szCs w:val="22"/>
        </w:rPr>
        <w:t>: Elemento de las actividades, productos o servicios de una organización que puede interactuar con el medio ambiente.</w:t>
      </w:r>
    </w:p>
    <w:p w14:paraId="047576C5"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Aspectos Ambientales Significativos: </w:t>
      </w:r>
      <w:r>
        <w:rPr>
          <w:rFonts w:ascii="Arial" w:eastAsia="Arial" w:hAnsi="Arial" w:cs="Arial"/>
          <w:color w:val="000000"/>
          <w:sz w:val="22"/>
          <w:szCs w:val="22"/>
        </w:rPr>
        <w:t>Aquellos aspectos que tengan o puedan tener un impacto ambiental significativo.</w:t>
      </w:r>
    </w:p>
    <w:p w14:paraId="295A1851"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Auditoría:</w:t>
      </w:r>
      <w:r>
        <w:rPr>
          <w:rFonts w:ascii="Arial" w:eastAsia="Arial" w:hAnsi="Arial" w:cs="Arial"/>
          <w:color w:val="000000"/>
          <w:sz w:val="22"/>
          <w:szCs w:val="22"/>
        </w:rPr>
        <w:t xml:space="preserve"> Examen sistemático para determinar si ciertas actividades y el resultado de éstas cumplen con lo planificado y si esto se ha implementado eficazmente, así como si es adecuado para alcanzar la política y los objetivos de la organización.</w:t>
      </w:r>
    </w:p>
    <w:p w14:paraId="0063B07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Auditado:</w:t>
      </w:r>
      <w:r>
        <w:rPr>
          <w:rFonts w:ascii="Arial" w:eastAsia="Arial" w:hAnsi="Arial" w:cs="Arial"/>
          <w:color w:val="000000"/>
          <w:sz w:val="22"/>
          <w:szCs w:val="22"/>
        </w:rPr>
        <w:t xml:space="preserve"> El Regulado sujeto a Auditoría Externa.</w:t>
      </w:r>
    </w:p>
    <w:p w14:paraId="0B75CBA8"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Auditoría Externa</w:t>
      </w:r>
      <w:r>
        <w:rPr>
          <w:rFonts w:ascii="Arial" w:eastAsia="Arial" w:hAnsi="Arial" w:cs="Arial"/>
          <w:color w:val="000000"/>
          <w:sz w:val="22"/>
          <w:szCs w:val="22"/>
        </w:rPr>
        <w:t>: Auditoría aplicada al Sistema de Administración de los Regulados por un Tercero Autorizado por la Agencia.</w:t>
      </w:r>
    </w:p>
    <w:p w14:paraId="41129A4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Auditor Externo:</w:t>
      </w:r>
      <w:r>
        <w:rPr>
          <w:rFonts w:ascii="Arial" w:eastAsia="Arial" w:hAnsi="Arial" w:cs="Arial"/>
          <w:color w:val="000000"/>
          <w:sz w:val="22"/>
          <w:szCs w:val="22"/>
        </w:rPr>
        <w:t xml:space="preserve"> Tercero autorizado por la Agencia para realizar Auditorías Externas del Sistema de Administración de los Regulados.</w:t>
      </w:r>
    </w:p>
    <w:p w14:paraId="01B4E755"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Auditor Líder:</w:t>
      </w:r>
      <w:r>
        <w:rPr>
          <w:rFonts w:ascii="Arial" w:eastAsia="Arial" w:hAnsi="Arial" w:cs="Arial"/>
          <w:color w:val="000000"/>
          <w:sz w:val="22"/>
          <w:szCs w:val="22"/>
        </w:rPr>
        <w:t xml:space="preserve"> Auditor Externo designado para llevar a cabo la Auditoría Externa actuando como coordinador del Equipo Auditor.</w:t>
      </w:r>
    </w:p>
    <w:p w14:paraId="141B5AC2"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Autorización</w:t>
      </w:r>
      <w:r>
        <w:rPr>
          <w:rFonts w:ascii="Arial" w:eastAsia="Arial" w:hAnsi="Arial" w:cs="Arial"/>
          <w:color w:val="000000"/>
          <w:sz w:val="22"/>
          <w:szCs w:val="22"/>
        </w:rPr>
        <w:t>: Acto administrativo que emite la Agencia mediante el cual se tienen por cumplidos los requisitos previstos en la Ley y en los presentes Lineamientos respecto del Sistema de Administración que será implementado en los Proyectos que desarrollen los Regulados.</w:t>
      </w:r>
    </w:p>
    <w:p w14:paraId="787584C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Causas básicas:</w:t>
      </w:r>
      <w:r>
        <w:rPr>
          <w:rFonts w:ascii="Arial" w:eastAsia="Arial" w:hAnsi="Arial" w:cs="Arial"/>
          <w:color w:val="000000"/>
          <w:sz w:val="22"/>
          <w:szCs w:val="22"/>
        </w:rPr>
        <w:t xml:space="preserve"> Causas reales que se manifiestan detrás de los síntomas; razones por las cuales ocurren los actos y condiciones subestándar o inseguros; factores que una vez identificados permiten un control administrativo significativo. Las causas básicas ayudan a explicar por qué se cometen actos subestándar o inseguros y por qué existen condiciones subestándar o inseguras.</w:t>
      </w:r>
    </w:p>
    <w:p w14:paraId="4F733E33"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Causas de los accidentes:</w:t>
      </w:r>
      <w:r>
        <w:rPr>
          <w:rFonts w:ascii="Arial" w:eastAsia="Arial" w:hAnsi="Arial" w:cs="Arial"/>
          <w:color w:val="000000"/>
          <w:sz w:val="22"/>
          <w:szCs w:val="22"/>
        </w:rPr>
        <w:t xml:space="preserve"> Son todas aquellas condiciones que en determinadas circunstancias se desvían de un estándar y entran a formar parte de una secuencia de eventos que tienen como resultado un accidente o incidente.</w:t>
      </w:r>
    </w:p>
    <w:p w14:paraId="1326130E"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Causas inmediatas:</w:t>
      </w:r>
      <w:r>
        <w:rPr>
          <w:rFonts w:ascii="Arial" w:eastAsia="Arial" w:hAnsi="Arial" w:cs="Arial"/>
          <w:color w:val="000000"/>
          <w:sz w:val="22"/>
          <w:szCs w:val="22"/>
        </w:rPr>
        <w:t xml:space="preserve"> Circunstancias que se presentan justamente antes del contacto; por lo general son observables o se hacen sentir. Se clasifican en actos subestándar o actos inseguros (comportamientos que podrían dar paso a la ocurrencia de un accidente o incidente) y condiciones subestándares o condiciones inseguras (circunstancias que podrían dar paso a la ocurrencia de un accidente).</w:t>
      </w:r>
    </w:p>
    <w:p w14:paraId="36B5C27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Clave Única de Registro del Regulado (CURR):</w:t>
      </w:r>
      <w:r>
        <w:rPr>
          <w:rFonts w:ascii="Arial" w:eastAsia="Arial" w:hAnsi="Arial" w:cs="Arial"/>
          <w:color w:val="000000"/>
          <w:sz w:val="22"/>
          <w:szCs w:val="22"/>
        </w:rPr>
        <w:t xml:space="preserve"> Clave que se otorga para identificar individualmente al Regulado en el Registro de Regulados de la Agencia.</w:t>
      </w:r>
    </w:p>
    <w:p w14:paraId="75F2733F"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Competencia del Personal</w:t>
      </w:r>
      <w:r>
        <w:rPr>
          <w:rFonts w:ascii="Arial" w:eastAsia="Arial" w:hAnsi="Arial" w:cs="Arial"/>
          <w:color w:val="000000"/>
          <w:sz w:val="22"/>
          <w:szCs w:val="22"/>
        </w:rPr>
        <w:t>: Atributos personales y aptitud demostrada para aplicar conocimientos y habilidades.</w:t>
      </w:r>
    </w:p>
    <w:p w14:paraId="713C292D"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Conclusiones de la Auditoría:</w:t>
      </w:r>
      <w:r>
        <w:rPr>
          <w:rFonts w:ascii="Arial" w:eastAsia="Arial" w:hAnsi="Arial" w:cs="Arial"/>
          <w:color w:val="000000"/>
          <w:sz w:val="22"/>
          <w:szCs w:val="22"/>
        </w:rPr>
        <w:t xml:space="preserve"> Resultado del análisis detallado de una Auditoría, tras considerar los objetivos de la Auditoría y todos los Hallazgos de Auditoría.</w:t>
      </w:r>
    </w:p>
    <w:p w14:paraId="2C0495C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Condición insegura:</w:t>
      </w:r>
      <w:r>
        <w:rPr>
          <w:rFonts w:ascii="Arial" w:eastAsia="Arial" w:hAnsi="Arial" w:cs="Arial"/>
          <w:color w:val="000000"/>
          <w:sz w:val="22"/>
          <w:szCs w:val="22"/>
        </w:rPr>
        <w:t xml:space="preserve"> Son las instalaciones, equipos de trabajo, maquinaria y herramientas que NO están en condiciones de ser usados y de realizar el trabajo para el cual fueron diseñadas o creadas y que ponen en riesgo de sufrir un accidente a la o las personas que las ocupan.</w:t>
      </w:r>
    </w:p>
    <w:p w14:paraId="46F241C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Conformación del Sistema de Administración</w:t>
      </w:r>
      <w:r>
        <w:rPr>
          <w:rFonts w:ascii="Arial" w:eastAsia="Arial" w:hAnsi="Arial" w:cs="Arial"/>
          <w:color w:val="000000"/>
          <w:sz w:val="22"/>
          <w:szCs w:val="22"/>
        </w:rPr>
        <w:t>: Conjunto documental de los elementos mínimos que deben contener los Sistemas de Administración de los Regulados, de acuerdo con lo previsto en la Ley y en los presentes Lineamientos.</w:t>
      </w:r>
    </w:p>
    <w:p w14:paraId="56D1D392"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Conforme:</w:t>
      </w:r>
      <w:r>
        <w:rPr>
          <w:rFonts w:ascii="Arial" w:eastAsia="Arial" w:hAnsi="Arial" w:cs="Arial"/>
          <w:color w:val="000000"/>
          <w:sz w:val="22"/>
          <w:szCs w:val="22"/>
        </w:rPr>
        <w:t xml:space="preserve"> Que cumple con los Criterios de Auditoría.</w:t>
      </w:r>
    </w:p>
    <w:p w14:paraId="4AAE59EF"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Criterios de Auditoría:</w:t>
      </w:r>
      <w:r>
        <w:rPr>
          <w:rFonts w:ascii="Arial" w:eastAsia="Arial" w:hAnsi="Arial" w:cs="Arial"/>
          <w:color w:val="000000"/>
          <w:sz w:val="22"/>
          <w:szCs w:val="22"/>
        </w:rPr>
        <w:t xml:space="preserve"> Conjunto de políticas, Procedimientos o requisitos usados como referencia frente a la cual se compara la evidencia de la Auditoría.</w:t>
      </w:r>
    </w:p>
    <w:p w14:paraId="1DBD141F"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Desempeño</w:t>
      </w:r>
      <w:r>
        <w:rPr>
          <w:rFonts w:ascii="Arial" w:eastAsia="Arial" w:hAnsi="Arial" w:cs="Arial"/>
          <w:color w:val="000000"/>
          <w:sz w:val="22"/>
          <w:szCs w:val="22"/>
        </w:rPr>
        <w:t>: Resultados de la operación y funcionamiento de la organización del Regulado respecto a sus actividades, procesos y servicios.</w:t>
      </w:r>
    </w:p>
    <w:p w14:paraId="79B9AB1F"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Dictamen de Correspondencia</w:t>
      </w:r>
      <w:r>
        <w:rPr>
          <w:rFonts w:ascii="Arial" w:eastAsia="Arial" w:hAnsi="Arial" w:cs="Arial"/>
          <w:color w:val="000000"/>
          <w:sz w:val="22"/>
          <w:szCs w:val="22"/>
        </w:rPr>
        <w:t>: Resultado por parte de un Tercero autorizado por la Agencia, de la correspondencia entre los documentos que conforman el Sistema de Administración del Regulado y lo requerido en el Artículo 13 de la Ley y en lo dispuesto en los presentes Lineamientos.</w:t>
      </w:r>
    </w:p>
    <w:p w14:paraId="62E6B780"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Distribución:</w:t>
      </w:r>
      <w:r>
        <w:rPr>
          <w:rFonts w:ascii="Arial" w:eastAsia="Arial" w:hAnsi="Arial" w:cs="Arial"/>
          <w:color w:val="000000"/>
          <w:sz w:val="22"/>
          <w:szCs w:val="22"/>
        </w:rPr>
        <w:t xml:space="preserve"> Actividad logística relacionada con la repartición, incluyendo el traslado de un determinado volumen de Gas Natural o Petrolíferos desde una ubicación determinada hacia uno o varios destinos previamente asignados, para su Expendio al Público o consumo final.</w:t>
      </w:r>
    </w:p>
    <w:p w14:paraId="481A916D"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Entrenamiento: </w:t>
      </w:r>
      <w:r>
        <w:rPr>
          <w:rFonts w:ascii="Arial" w:eastAsia="Arial" w:hAnsi="Arial" w:cs="Arial"/>
          <w:color w:val="000000"/>
          <w:sz w:val="22"/>
          <w:szCs w:val="22"/>
        </w:rPr>
        <w:t>Procedimiento que se establece para que el individuo obtenga los conocimientos, las habilidades y las capacidades específicas del puesto que va a desempeñar. El entrenamiento debe considerar los riesgos, peligros y aspectos ambientales que tendrán las actividades a desarrollar.</w:t>
      </w:r>
    </w:p>
    <w:p w14:paraId="3E49D9F7"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Equipo Auditor:</w:t>
      </w:r>
      <w:r>
        <w:rPr>
          <w:rFonts w:ascii="Arial" w:eastAsia="Arial" w:hAnsi="Arial" w:cs="Arial"/>
          <w:color w:val="000000"/>
          <w:sz w:val="22"/>
          <w:szCs w:val="22"/>
        </w:rPr>
        <w:t xml:space="preserve"> Uno o más Auditores Externos, coordinados por el Auditor Líder, que llevan a cabo una Auditoría Externa con el apoyo, si es necesario, de Expertos Técnicos.</w:t>
      </w:r>
    </w:p>
    <w:p w14:paraId="323BAAA1"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Equipo crítico: </w:t>
      </w:r>
      <w:r>
        <w:rPr>
          <w:rFonts w:ascii="Arial" w:eastAsia="Arial" w:hAnsi="Arial" w:cs="Arial"/>
          <w:color w:val="000000"/>
          <w:sz w:val="22"/>
          <w:szCs w:val="22"/>
        </w:rPr>
        <w:t>Sistemas, maquinaria, equipos, instalaciones o componentes, cuya falla pudiera derivar en la liberación de energía o material peligroso, capaz de originar incidentes y accidentes.</w:t>
      </w:r>
    </w:p>
    <w:p w14:paraId="360DAA6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Etapas de Desarrollo: </w:t>
      </w:r>
      <w:r>
        <w:rPr>
          <w:rFonts w:ascii="Arial" w:eastAsia="Arial" w:hAnsi="Arial" w:cs="Arial"/>
          <w:color w:val="000000"/>
          <w:sz w:val="22"/>
          <w:szCs w:val="22"/>
        </w:rPr>
        <w:t>Aquellas que componen el ciclo de vida de un proyecto y que incluyen el diseño, construcción, operación, cierre, desmantelamiento y abandono, o sus equivalentes, de las instalaciones.</w:t>
      </w:r>
    </w:p>
    <w:p w14:paraId="454FB31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Evidencia de Auditoría:</w:t>
      </w:r>
      <w:r>
        <w:rPr>
          <w:rFonts w:ascii="Arial" w:eastAsia="Arial" w:hAnsi="Arial" w:cs="Arial"/>
          <w:color w:val="000000"/>
          <w:sz w:val="22"/>
          <w:szCs w:val="22"/>
        </w:rPr>
        <w:t xml:space="preserve"> Registros, declaraciones de hechos o cualquier otra información que es pertinente para los Criterios de Auditoría y que es verificable.</w:t>
      </w:r>
    </w:p>
    <w:p w14:paraId="1D9692F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Experto Técnico:</w:t>
      </w:r>
      <w:r>
        <w:rPr>
          <w:rFonts w:ascii="Arial" w:eastAsia="Arial" w:hAnsi="Arial" w:cs="Arial"/>
          <w:color w:val="000000"/>
          <w:sz w:val="22"/>
          <w:szCs w:val="22"/>
        </w:rPr>
        <w:t xml:space="preserve"> Persona que aporta conocimientos o experiencia específicos al Equipo Auditor.</w:t>
      </w:r>
    </w:p>
    <w:p w14:paraId="3490A8C8"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Factor del trabajo:</w:t>
      </w:r>
      <w:r>
        <w:rPr>
          <w:rFonts w:ascii="Arial" w:eastAsia="Arial" w:hAnsi="Arial" w:cs="Arial"/>
          <w:color w:val="000000"/>
          <w:sz w:val="22"/>
          <w:szCs w:val="22"/>
        </w:rPr>
        <w:t xml:space="preserve"> Son condiciones que existan condiciones de riesgo tanto ambientales como de equipos, materiales o métodos que pueden estar en: fallas en la disposición de trabajo, desgaste de elementos de uso, diseño inadecuado de los equipos o dispositivos, fallas de máquinas o mal funcionamiento, métodos o procedimientos inadecuados.</w:t>
      </w:r>
    </w:p>
    <w:p w14:paraId="2CA7CA1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Factor personal: </w:t>
      </w:r>
      <w:r>
        <w:rPr>
          <w:rFonts w:ascii="Arial" w:eastAsia="Arial" w:hAnsi="Arial" w:cs="Arial"/>
          <w:color w:val="000000"/>
          <w:sz w:val="22"/>
          <w:szCs w:val="22"/>
        </w:rPr>
        <w:t>Son los factores que hacen que una persona actúe de una determinada manera, es decir, el por qué hace o no lo que corresponde.</w:t>
      </w:r>
    </w:p>
    <w:p w14:paraId="3C008822"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Grupo Multidisciplinario:</w:t>
      </w:r>
      <w:r>
        <w:rPr>
          <w:rFonts w:ascii="Arial" w:eastAsia="Arial" w:hAnsi="Arial" w:cs="Arial"/>
          <w:color w:val="000000"/>
          <w:sz w:val="22"/>
          <w:szCs w:val="22"/>
        </w:rPr>
        <w:t xml:space="preserve"> Grupo de expertos y/o especialistas que realizan la investigación técnica y análisis de los Eventos, aportando conocimientos y experiencias, durante el proceso de las Investigaciones de Causa Raíz.</w:t>
      </w:r>
    </w:p>
    <w:p w14:paraId="7B734788"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Guía:</w:t>
      </w:r>
      <w:r>
        <w:rPr>
          <w:rFonts w:ascii="Arial" w:eastAsia="Arial" w:hAnsi="Arial" w:cs="Arial"/>
          <w:color w:val="000000"/>
          <w:sz w:val="22"/>
          <w:szCs w:val="22"/>
        </w:rPr>
        <w:t xml:space="preserve"> Persona nombrada por el Auditado para asistir al Equipo Auditor.</w:t>
      </w:r>
    </w:p>
    <w:p w14:paraId="108C1BAE"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Hallazgo: </w:t>
      </w:r>
      <w:r>
        <w:rPr>
          <w:rFonts w:ascii="Arial" w:eastAsia="Arial" w:hAnsi="Arial" w:cs="Arial"/>
          <w:color w:val="000000"/>
          <w:sz w:val="22"/>
          <w:szCs w:val="22"/>
        </w:rPr>
        <w:t>El resultado de evaluar la evidencia contra un criterio.</w:t>
      </w:r>
    </w:p>
    <w:p w14:paraId="6A0E8BA5"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Hallazgo No Conforme:</w:t>
      </w:r>
      <w:r>
        <w:rPr>
          <w:rFonts w:ascii="Arial" w:eastAsia="Arial" w:hAnsi="Arial" w:cs="Arial"/>
          <w:color w:val="000000"/>
          <w:sz w:val="22"/>
          <w:szCs w:val="22"/>
        </w:rPr>
        <w:t xml:space="preserve"> Hallazgo que no cumple con los Criterios de Auditoría.</w:t>
      </w:r>
    </w:p>
    <w:p w14:paraId="4B1023F0"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Impacto ambiental: </w:t>
      </w:r>
      <w:r>
        <w:rPr>
          <w:rFonts w:ascii="Arial" w:eastAsia="Arial" w:hAnsi="Arial" w:cs="Arial"/>
          <w:color w:val="000000"/>
          <w:sz w:val="22"/>
          <w:szCs w:val="22"/>
        </w:rPr>
        <w:t>Cambio en el medio ambiente, ya sea adverso o beneficioso, como resultado total o parcial de los aspectos ambientales de una organización.</w:t>
      </w:r>
    </w:p>
    <w:p w14:paraId="453F96B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Implementación del Sistema de Administración: </w:t>
      </w:r>
      <w:r>
        <w:rPr>
          <w:rFonts w:ascii="Arial" w:eastAsia="Arial" w:hAnsi="Arial" w:cs="Arial"/>
          <w:color w:val="000000"/>
          <w:sz w:val="22"/>
          <w:szCs w:val="22"/>
        </w:rPr>
        <w:t>La puesta en funcionamiento, de forma gradual, por parte del Regulado de los elementos de su Sistema de Administración en la realización de proyectos del sector hidrocarburos durante cada una de las etapas de desarrollo, conforme a los programas de implementación correspondientes.</w:t>
      </w:r>
    </w:p>
    <w:p w14:paraId="3385ACDE"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Incidente:</w:t>
      </w:r>
      <w:r>
        <w:rPr>
          <w:rFonts w:ascii="Arial" w:eastAsia="Arial" w:hAnsi="Arial" w:cs="Arial"/>
          <w:color w:val="000000"/>
          <w:sz w:val="22"/>
          <w:szCs w:val="22"/>
        </w:rPr>
        <w:t xml:space="preserve"> Evento o combinación de eventos inesperados no deseados que alteran el funcionamiento normal de las instalaciones, del proceso o de la industria; acompañado o no de afectación al ambiente, a las instalaciones, a la población y/o al personal del Regulado, así como al personal de contratistas, subcontratistas, proveedores y prestadores de servicios.</w:t>
      </w:r>
    </w:p>
    <w:p w14:paraId="2A4597F1"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Inducción:</w:t>
      </w:r>
      <w:r>
        <w:rPr>
          <w:rFonts w:ascii="Arial" w:eastAsia="Arial" w:hAnsi="Arial" w:cs="Arial"/>
          <w:color w:val="000000"/>
          <w:sz w:val="22"/>
          <w:szCs w:val="22"/>
        </w:rPr>
        <w:t xml:space="preserve"> Procedimiento </w:t>
      </w:r>
      <w:r>
        <w:rPr>
          <w:rFonts w:ascii="Arial" w:eastAsia="Arial" w:hAnsi="Arial" w:cs="Arial"/>
          <w:color w:val="000000"/>
          <w:sz w:val="23"/>
          <w:szCs w:val="23"/>
        </w:rPr>
        <w:t>inicial por medio del cual se proporciona al personal la información básica acerca del proyecto que le permita integrarse rápidamente a su lugar de trabajo</w:t>
      </w:r>
    </w:p>
    <w:p w14:paraId="4AE2C37B"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Informe de Experiencia Operacional Significativa (IEOS):</w:t>
      </w:r>
      <w:r>
        <w:rPr>
          <w:rFonts w:ascii="Arial" w:eastAsia="Arial" w:hAnsi="Arial" w:cs="Arial"/>
          <w:color w:val="000000"/>
          <w:sz w:val="22"/>
          <w:szCs w:val="22"/>
        </w:rPr>
        <w:t xml:space="preserve"> Reporte cuyo objetivo es la difusión de mejores prácticas y lecciones aprendidas derivadas de las Investigaciones de Causa Raíz entre aquellos Regulados que desarrollan actividades similares del Sector Hidrocarburos, contribuyendo en la toma de decisiones sobre programas, proyectos de desarrollo y elaboración de planes de acción.</w:t>
      </w:r>
    </w:p>
    <w:p w14:paraId="787211B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Investigaciones Causa Raíz (ICR):</w:t>
      </w:r>
      <w:r>
        <w:rPr>
          <w:rFonts w:ascii="Arial" w:eastAsia="Arial" w:hAnsi="Arial" w:cs="Arial"/>
          <w:color w:val="000000"/>
          <w:sz w:val="22"/>
          <w:szCs w:val="22"/>
        </w:rPr>
        <w:t xml:space="preserve"> Métodos sistemáticos de análisis que permiten identificar las causas que originan los incidentes y/o accidentes para emitir las recomendaciones preventivas y correctivas para evitar su repetición.</w:t>
      </w:r>
    </w:p>
    <w:p w14:paraId="4B1F412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Investigación de accidente: </w:t>
      </w:r>
      <w:r>
        <w:rPr>
          <w:rFonts w:ascii="Arial" w:eastAsia="Arial" w:hAnsi="Arial" w:cs="Arial"/>
          <w:color w:val="000000"/>
          <w:sz w:val="22"/>
          <w:szCs w:val="22"/>
        </w:rPr>
        <w:t>Proceso sistemático de determinación y ordenación de causas, hechos o situaciones que generaron o favorecieron la ocurrencia del accidente, que se realiza con el objeto de prevenir su repetición, mediante el control de los riesgos que lo produjeron.</w:t>
      </w:r>
    </w:p>
    <w:p w14:paraId="09131F5B"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Instalación:</w:t>
      </w:r>
      <w:r>
        <w:rPr>
          <w:rFonts w:ascii="Arial" w:eastAsia="Arial" w:hAnsi="Arial" w:cs="Arial"/>
          <w:color w:val="000000"/>
          <w:sz w:val="22"/>
          <w:szCs w:val="22"/>
        </w:rPr>
        <w:t xml:space="preserve"> El conjunto de estructuras, plantas industriales, equipos, circuitos de tuberías de proceso y servicios auxiliares, así como sistemas instrumentados, dispuestos para un proceso productivo o comercial específicos, incluyendo, entre otros, pozos para la exploración y extracción de hidrocarburos, plataformas, plantas de almacenamiento, refinación y procesamiento de hidrocarburos en tierra y en mar, plantas de compresión y descompresión de hidrocarburos, sistemas de transporte y distribución en cualquier modalidad, así como estaciones de expendio al público.</w:t>
      </w:r>
    </w:p>
    <w:p w14:paraId="3DA6A3A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Ley: </w:t>
      </w:r>
      <w:r>
        <w:rPr>
          <w:rFonts w:ascii="Arial" w:eastAsia="Arial" w:hAnsi="Arial" w:cs="Arial"/>
          <w:color w:val="000000"/>
          <w:sz w:val="22"/>
          <w:szCs w:val="22"/>
        </w:rPr>
        <w:t>El conjunto de estructuras, plantas industriales, equipos, circuitos de tuberías de proceso y servicios auxiliares, así como sistemas instrumentados, dispuestos para un proceso productivo o comercial específicos, incluyendo, entre otros, pozos para la exploración y extracción de hidrocarburos, plataformas, plantas de almacenamiento, refinación y procesamiento de hidrocarburos en tierra y en mar, plantas de compresión y descompresión de hidrocarburos, sistemas de transporte y distribución en cualquier modalidad, así como estaciones de expendio al público.</w:t>
      </w:r>
    </w:p>
    <w:p w14:paraId="3CE0FCF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Líder de las Investigaciones Causa Raíz (LICR):</w:t>
      </w:r>
      <w:r>
        <w:rPr>
          <w:rFonts w:ascii="Arial" w:eastAsia="Arial" w:hAnsi="Arial" w:cs="Arial"/>
          <w:color w:val="000000"/>
          <w:sz w:val="22"/>
          <w:szCs w:val="22"/>
        </w:rPr>
        <w:t xml:space="preserve"> Persona moral responsable de coordinar al Grupo Multidisciplinario, así como de realizar las ICR.</w:t>
      </w:r>
    </w:p>
    <w:p w14:paraId="1E5615AF"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Norma Oficial Mexicana: </w:t>
      </w:r>
      <w:r>
        <w:rPr>
          <w:rFonts w:ascii="Arial" w:eastAsia="Arial" w:hAnsi="Arial" w:cs="Arial"/>
          <w:color w:val="000000"/>
          <w:sz w:val="22"/>
          <w:szCs w:val="22"/>
        </w:rPr>
        <w:t>Norma Oficial Mexicana.</w:t>
      </w:r>
    </w:p>
    <w:p w14:paraId="678A8EA6"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Mecanismo: </w:t>
      </w:r>
      <w:r>
        <w:rPr>
          <w:rFonts w:ascii="Arial" w:eastAsia="Arial" w:hAnsi="Arial" w:cs="Arial"/>
          <w:color w:val="000000"/>
          <w:sz w:val="22"/>
          <w:szCs w:val="22"/>
        </w:rPr>
        <w:t>Conjunto de elementos y combinación de sus partes que, ajustados entre sí de manera ordenada, permiten que un trabajo o una función se cumpla satisfactoriamente.</w:t>
      </w:r>
    </w:p>
    <w:p w14:paraId="498F595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Medidas de Control: </w:t>
      </w:r>
      <w:r>
        <w:rPr>
          <w:rFonts w:ascii="Arial" w:eastAsia="Arial" w:hAnsi="Arial" w:cs="Arial"/>
          <w:color w:val="000000"/>
          <w:sz w:val="22"/>
          <w:szCs w:val="22"/>
        </w:rPr>
        <w:t>Son determinaciones apuntadas a controlar, corregir o eliminar los riesgos identificados en las actividades desarrolladas por la empresa.</w:t>
      </w:r>
    </w:p>
    <w:p w14:paraId="1B63FD35"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Monitoreo: </w:t>
      </w:r>
      <w:r>
        <w:rPr>
          <w:rFonts w:ascii="Arial" w:eastAsia="Arial" w:hAnsi="Arial" w:cs="Arial"/>
          <w:color w:val="000000"/>
          <w:sz w:val="22"/>
          <w:szCs w:val="22"/>
        </w:rPr>
        <w:t>Seguimiento del curso de uno o varios parámetros.</w:t>
      </w:r>
    </w:p>
    <w:p w14:paraId="65F5AB79"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Peligro: </w:t>
      </w:r>
      <w:r>
        <w:rPr>
          <w:rFonts w:ascii="Arial" w:eastAsia="Arial" w:hAnsi="Arial" w:cs="Arial"/>
          <w:color w:val="000000"/>
          <w:sz w:val="22"/>
          <w:szCs w:val="22"/>
        </w:rPr>
        <w:t>Fuente, situación o acto con un potencial de daño en términos de lesión, enfermedad o una combinación de estas.</w:t>
      </w:r>
    </w:p>
    <w:p w14:paraId="1CC03D4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Pérdida: </w:t>
      </w:r>
      <w:r>
        <w:rPr>
          <w:rFonts w:ascii="Arial" w:eastAsia="Arial" w:hAnsi="Arial" w:cs="Arial"/>
          <w:color w:val="000000"/>
          <w:sz w:val="22"/>
          <w:szCs w:val="22"/>
        </w:rPr>
        <w:t>Toda lesión personal o daño ocasionado a la propiedad, al ambiente o al proceso. Las interrupciones del trabajo y la reducción de las utilidades se consideran como pérdidas implícitas de importancia. Por lo tanto, hay pérdidas que involucran a personas, propiedad, procesos y en última instancia a las utilidades.</w:t>
      </w:r>
    </w:p>
    <w:p w14:paraId="15FB1A4B"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Procedimiento: </w:t>
      </w:r>
      <w:r>
        <w:rPr>
          <w:rFonts w:ascii="Arial" w:eastAsia="Arial" w:hAnsi="Arial" w:cs="Arial"/>
          <w:color w:val="000000"/>
          <w:sz w:val="22"/>
          <w:szCs w:val="22"/>
        </w:rPr>
        <w:t>La descripción de las actividades de manera secuencial de una tarea o tareas específicas, aplicables a la operación, mantenimiento, revisión e investigación, entre otros, de equipos críticos y de los procesos. Para efectos de la presente guía, el término procedimiento es equivalente al de mecanismo utilizado en la DACG SASISOPA Expendio al Público.</w:t>
      </w:r>
    </w:p>
    <w:p w14:paraId="5D2C78C0"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Programa de auditoría: </w:t>
      </w:r>
      <w:r>
        <w:rPr>
          <w:rFonts w:ascii="Arial" w:eastAsia="Arial" w:hAnsi="Arial" w:cs="Arial"/>
          <w:color w:val="000000"/>
          <w:sz w:val="22"/>
          <w:szCs w:val="22"/>
        </w:rPr>
        <w:t>Detalles acordados para un conjunto de una o más auditorías planificadas durante un periodo de tiempo determinado y dirigidas hacia un propósito específico.</w:t>
      </w:r>
    </w:p>
    <w:p w14:paraId="0E213ED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Proyecto: </w:t>
      </w:r>
      <w:r>
        <w:rPr>
          <w:rFonts w:ascii="Arial" w:eastAsia="Arial" w:hAnsi="Arial" w:cs="Arial"/>
          <w:color w:val="000000"/>
          <w:sz w:val="22"/>
          <w:szCs w:val="22"/>
        </w:rPr>
        <w:t>Son los equipos e instalaciones, o conjunto de ellas, identificadas mediante una asignación, contrato o permiso, según corresponda, otorgado por la autoridad competente.</w:t>
      </w:r>
    </w:p>
    <w:p w14:paraId="2C7540F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Registros del Sistema:</w:t>
      </w:r>
      <w:r>
        <w:rPr>
          <w:rFonts w:ascii="Calibri" w:eastAsia="Calibri" w:hAnsi="Calibri" w:cs="Calibri"/>
          <w:b/>
          <w:color w:val="000000"/>
          <w:sz w:val="23"/>
          <w:szCs w:val="23"/>
        </w:rPr>
        <w:t xml:space="preserve"> </w:t>
      </w:r>
      <w:r>
        <w:rPr>
          <w:rFonts w:ascii="Arial" w:eastAsia="Arial" w:hAnsi="Arial" w:cs="Arial"/>
          <w:color w:val="000000"/>
          <w:sz w:val="22"/>
          <w:szCs w:val="22"/>
        </w:rPr>
        <w:t>Documentos que proporcionan información acerca de los resultados obtenidos, o la evidencia del desempeño del Sistema de Administración.</w:t>
      </w:r>
    </w:p>
    <w:p w14:paraId="294ACCD4" w14:textId="77777777" w:rsidR="00DF6AF9" w:rsidRDefault="003F7D0D">
      <w:pPr>
        <w:pBdr>
          <w:top w:val="nil"/>
          <w:left w:val="nil"/>
          <w:bottom w:val="nil"/>
          <w:right w:val="nil"/>
          <w:between w:val="nil"/>
        </w:pBdr>
        <w:tabs>
          <w:tab w:val="left" w:pos="0"/>
        </w:tabs>
        <w:spacing w:after="160"/>
        <w:jc w:val="both"/>
        <w:rPr>
          <w:rFonts w:ascii="Arial" w:eastAsia="Arial" w:hAnsi="Arial" w:cs="Arial"/>
          <w:color w:val="000000"/>
          <w:sz w:val="22"/>
          <w:szCs w:val="22"/>
        </w:rPr>
      </w:pPr>
      <w:r>
        <w:rPr>
          <w:rFonts w:ascii="Arial" w:eastAsia="Arial" w:hAnsi="Arial" w:cs="Arial"/>
          <w:b/>
          <w:color w:val="000000"/>
          <w:sz w:val="22"/>
          <w:szCs w:val="22"/>
        </w:rPr>
        <w:t xml:space="preserve">Representante técnico: </w:t>
      </w:r>
      <w:r>
        <w:rPr>
          <w:rFonts w:ascii="Arial" w:eastAsia="Arial" w:hAnsi="Arial" w:cs="Arial"/>
          <w:color w:val="000000"/>
          <w:sz w:val="22"/>
          <w:szCs w:val="22"/>
        </w:rPr>
        <w:t>Persona o área responsable del Sistema de Administración del Regulado, de conformidad con lo dispuesto en los artículos 16 y 17 de la Ley de la Agencia Nacional de Seguridad Industrial y Protección al Medio Ambiente del Sector Hidrocarburos, así como en el artículo 8, fracción IV de las DACG SASISOPA Expendio al Público.</w:t>
      </w:r>
    </w:p>
    <w:p w14:paraId="35A0AD38" w14:textId="77777777" w:rsidR="00DF6AF9" w:rsidRDefault="003F7D0D">
      <w:pPr>
        <w:pBdr>
          <w:top w:val="nil"/>
          <w:left w:val="nil"/>
          <w:bottom w:val="nil"/>
          <w:right w:val="nil"/>
          <w:between w:val="nil"/>
        </w:pBdr>
        <w:tabs>
          <w:tab w:val="left" w:pos="0"/>
        </w:tabs>
        <w:spacing w:after="160"/>
        <w:jc w:val="both"/>
        <w:rPr>
          <w:rFonts w:ascii="Arial" w:eastAsia="Arial" w:hAnsi="Arial" w:cs="Arial"/>
          <w:color w:val="000000"/>
          <w:sz w:val="22"/>
          <w:szCs w:val="22"/>
        </w:rPr>
      </w:pPr>
      <w:r>
        <w:rPr>
          <w:rFonts w:ascii="Arial" w:eastAsia="Arial" w:hAnsi="Arial" w:cs="Arial"/>
          <w:b/>
          <w:color w:val="000000"/>
          <w:sz w:val="22"/>
          <w:szCs w:val="22"/>
        </w:rPr>
        <w:t>Riesgo</w:t>
      </w:r>
      <w:r>
        <w:rPr>
          <w:rFonts w:ascii="Arial" w:eastAsia="Arial" w:hAnsi="Arial" w:cs="Arial"/>
          <w:color w:val="000000"/>
          <w:sz w:val="22"/>
          <w:szCs w:val="22"/>
        </w:rPr>
        <w:t>: Combinación de la posibilidad de la ocurrencia de un evento peligroso o exposición y la severidad de lesión o enfermedad que pueden ser causados por el evento o la exposición.</w:t>
      </w:r>
    </w:p>
    <w:p w14:paraId="70220CC4"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3"/>
          <w:szCs w:val="23"/>
        </w:rPr>
        <w:t xml:space="preserve">Sistema de Administración: </w:t>
      </w:r>
      <w:r>
        <w:rPr>
          <w:rFonts w:ascii="Arial" w:eastAsia="Arial" w:hAnsi="Arial" w:cs="Arial"/>
          <w:color w:val="000000"/>
          <w:sz w:val="22"/>
          <w:szCs w:val="22"/>
        </w:rPr>
        <w:t>Sistema de Administración de Seguridad Industrial, Seguridad Operativa y Protección al Medio Ambiente, previsto en el Capítulo III de la Ley.</w:t>
      </w:r>
    </w:p>
    <w:p w14:paraId="6550A9B8"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Observador</w:t>
      </w:r>
      <w:r>
        <w:rPr>
          <w:rFonts w:ascii="Arial" w:eastAsia="Arial" w:hAnsi="Arial" w:cs="Arial"/>
          <w:color w:val="000000"/>
          <w:sz w:val="22"/>
          <w:szCs w:val="22"/>
        </w:rPr>
        <w:t>: Persona que acompaña al Equipo Auditor durante la ejecución de una Auditoría con fines de capacitación.</w:t>
      </w:r>
    </w:p>
    <w:p w14:paraId="628BF50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Oportunidad de Mejora</w:t>
      </w:r>
      <w:r>
        <w:rPr>
          <w:rFonts w:ascii="Arial" w:eastAsia="Arial" w:hAnsi="Arial" w:cs="Arial"/>
          <w:color w:val="000000"/>
          <w:sz w:val="22"/>
          <w:szCs w:val="22"/>
        </w:rPr>
        <w:t>: Situación detectada por el Auditor Externo en la que el Criterio de Auditoría se cumple, pero se podría cumplir en forma más eficiente.</w:t>
      </w:r>
    </w:p>
    <w:p w14:paraId="2E44BB35"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Plan de Auditoría</w:t>
      </w:r>
      <w:r>
        <w:rPr>
          <w:rFonts w:ascii="Arial" w:eastAsia="Arial" w:hAnsi="Arial" w:cs="Arial"/>
          <w:color w:val="000000"/>
          <w:sz w:val="22"/>
          <w:szCs w:val="22"/>
        </w:rPr>
        <w:t>: Descripción de las actividades y de los detalles acordados de una Auditoría.</w:t>
      </w:r>
    </w:p>
    <w:p w14:paraId="1DCE9EAC" w14:textId="77777777" w:rsidR="00DF6AF9" w:rsidRDefault="003F7D0D">
      <w:pPr>
        <w:pBdr>
          <w:top w:val="nil"/>
          <w:left w:val="nil"/>
          <w:bottom w:val="nil"/>
          <w:right w:val="nil"/>
          <w:between w:val="nil"/>
        </w:pBdr>
        <w:tabs>
          <w:tab w:val="left" w:pos="284"/>
        </w:tabs>
        <w:spacing w:after="160"/>
        <w:jc w:val="both"/>
        <w:rPr>
          <w:rFonts w:ascii="Arial" w:eastAsia="Arial" w:hAnsi="Arial" w:cs="Arial"/>
          <w:color w:val="000000"/>
          <w:sz w:val="22"/>
          <w:szCs w:val="22"/>
        </w:rPr>
      </w:pPr>
      <w:r>
        <w:rPr>
          <w:rFonts w:ascii="Arial" w:eastAsia="Arial" w:hAnsi="Arial" w:cs="Arial"/>
          <w:b/>
          <w:color w:val="000000"/>
          <w:sz w:val="22"/>
          <w:szCs w:val="22"/>
        </w:rPr>
        <w:t>Parte interesada: </w:t>
      </w:r>
      <w:r>
        <w:rPr>
          <w:rFonts w:ascii="Arial" w:eastAsia="Arial" w:hAnsi="Arial" w:cs="Arial"/>
          <w:color w:val="000000"/>
          <w:sz w:val="22"/>
          <w:szCs w:val="22"/>
        </w:rPr>
        <w:t>es cualquier organización, grupo o individuo que pueda afectar o ser afectado por las actividades de una empresa u organización de referencia.</w:t>
      </w:r>
    </w:p>
    <w:p w14:paraId="1235BBA4" w14:textId="326C384E" w:rsidR="007239C5" w:rsidRDefault="007239C5">
      <w:pPr>
        <w:pBdr>
          <w:top w:val="nil"/>
          <w:left w:val="nil"/>
          <w:bottom w:val="nil"/>
          <w:right w:val="nil"/>
          <w:between w:val="nil"/>
        </w:pBdr>
        <w:rPr>
          <w:rFonts w:ascii="Arial" w:eastAsia="Arial" w:hAnsi="Arial" w:cs="Arial"/>
          <w:color w:val="000000"/>
          <w:sz w:val="22"/>
          <w:szCs w:val="22"/>
        </w:rPr>
      </w:pPr>
    </w:p>
    <w:p w14:paraId="7CB8C4E0" w14:textId="77777777" w:rsidR="007239C5" w:rsidRDefault="007239C5">
      <w:pPr>
        <w:pBdr>
          <w:top w:val="nil"/>
          <w:left w:val="nil"/>
          <w:bottom w:val="nil"/>
          <w:right w:val="nil"/>
          <w:between w:val="nil"/>
        </w:pBdr>
        <w:rPr>
          <w:rFonts w:ascii="Arial" w:eastAsia="Arial" w:hAnsi="Arial" w:cs="Arial"/>
          <w:b/>
          <w:sz w:val="22"/>
          <w:szCs w:val="22"/>
        </w:rPr>
      </w:pPr>
    </w:p>
    <w:p w14:paraId="2C2B27F1" w14:textId="77777777" w:rsidR="00DF6AF9" w:rsidRDefault="003F7D0D">
      <w:pPr>
        <w:pBdr>
          <w:top w:val="nil"/>
          <w:left w:val="nil"/>
          <w:bottom w:val="nil"/>
          <w:right w:val="nil"/>
          <w:between w:val="nil"/>
        </w:pBdr>
        <w:rPr>
          <w:rFonts w:ascii="Arial" w:eastAsia="Arial" w:hAnsi="Arial" w:cs="Arial"/>
          <w:b/>
          <w:color w:val="000000"/>
          <w:sz w:val="22"/>
          <w:szCs w:val="22"/>
        </w:rPr>
      </w:pP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0EA81488" w14:textId="77777777" w:rsidR="00DF6AF9" w:rsidRDefault="00DF6AF9">
      <w:pPr>
        <w:pBdr>
          <w:top w:val="nil"/>
          <w:left w:val="nil"/>
          <w:bottom w:val="nil"/>
          <w:right w:val="nil"/>
          <w:between w:val="nil"/>
        </w:pBdr>
        <w:rPr>
          <w:rFonts w:ascii="Arial" w:eastAsia="Arial" w:hAnsi="Arial" w:cs="Arial"/>
          <w:b/>
          <w:color w:val="000000"/>
          <w:sz w:val="22"/>
          <w:szCs w:val="22"/>
        </w:rPr>
      </w:pPr>
    </w:p>
    <w:p w14:paraId="61285FEC" w14:textId="77777777" w:rsidR="00DF6AF9" w:rsidRDefault="003F7D0D">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2"/>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DF6AF9" w14:paraId="5224C770" w14:textId="77777777">
        <w:tc>
          <w:tcPr>
            <w:tcW w:w="1555" w:type="dxa"/>
            <w:shd w:val="clear" w:color="auto" w:fill="D9D9D9"/>
            <w:vAlign w:val="center"/>
          </w:tcPr>
          <w:p w14:paraId="64F4DB9D" w14:textId="77777777" w:rsidR="00DF6AF9" w:rsidRDefault="003F7D0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FECHA</w:t>
            </w:r>
          </w:p>
        </w:tc>
        <w:tc>
          <w:tcPr>
            <w:tcW w:w="1559" w:type="dxa"/>
            <w:shd w:val="clear" w:color="auto" w:fill="D9D9D9"/>
            <w:vAlign w:val="center"/>
          </w:tcPr>
          <w:p w14:paraId="209A120B" w14:textId="77777777" w:rsidR="00DF6AF9" w:rsidRDefault="003F7D0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REVISION</w:t>
            </w:r>
          </w:p>
        </w:tc>
        <w:tc>
          <w:tcPr>
            <w:tcW w:w="1984" w:type="dxa"/>
            <w:shd w:val="clear" w:color="auto" w:fill="D9D9D9"/>
            <w:vAlign w:val="center"/>
          </w:tcPr>
          <w:p w14:paraId="51B2FB13" w14:textId="77777777" w:rsidR="00DF6AF9" w:rsidRDefault="003F7D0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SECCION MODIFICADA</w:t>
            </w:r>
          </w:p>
        </w:tc>
        <w:tc>
          <w:tcPr>
            <w:tcW w:w="5406" w:type="dxa"/>
            <w:shd w:val="clear" w:color="auto" w:fill="D9D9D9"/>
            <w:vAlign w:val="center"/>
          </w:tcPr>
          <w:p w14:paraId="5A56E1E4" w14:textId="77777777" w:rsidR="00DF6AF9" w:rsidRDefault="003F7D0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MODIFICACIONES REALIZADAS</w:t>
            </w:r>
          </w:p>
        </w:tc>
      </w:tr>
      <w:tr w:rsidR="00DF6AF9" w14:paraId="3B9BD3FB" w14:textId="77777777">
        <w:tc>
          <w:tcPr>
            <w:tcW w:w="1555" w:type="dxa"/>
            <w:vAlign w:val="center"/>
          </w:tcPr>
          <w:p w14:paraId="6803E4D5" w14:textId="552D5E9A" w:rsidR="00442284" w:rsidRPr="00442284" w:rsidRDefault="00A47186" w:rsidP="00442284">
            <w:pPr>
              <w:pBdr>
                <w:top w:val="nil"/>
                <w:left w:val="nil"/>
                <w:bottom w:val="nil"/>
                <w:right w:val="nil"/>
                <w:between w:val="nil"/>
              </w:pBdr>
              <w:spacing w:before="40" w:after="40"/>
              <w:jc w:val="center"/>
              <w:rPr>
                <w:rFonts w:ascii="Arial" w:eastAsia="Arial" w:hAnsi="Arial" w:cs="Arial"/>
                <w:sz w:val="20"/>
                <w:szCs w:val="20"/>
              </w:rPr>
            </w:pPr>
            <w:r w:rsidRPr="00AD71B9">
              <w:rPr>
                <w:rFonts w:ascii="Arial" w:eastAsia="Arial" w:hAnsi="Arial" w:cs="Arial"/>
                <w:color w:val="000000"/>
                <w:sz w:val="20"/>
                <w:szCs w:val="20"/>
                <w:highlight w:val="yellow"/>
              </w:rPr>
              <w:t>28/04/2025</w:t>
            </w:r>
          </w:p>
        </w:tc>
        <w:tc>
          <w:tcPr>
            <w:tcW w:w="1559" w:type="dxa"/>
            <w:vAlign w:val="center"/>
          </w:tcPr>
          <w:p w14:paraId="786EB4B7" w14:textId="77777777" w:rsidR="00DF6AF9" w:rsidRDefault="003F7D0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0</w:t>
            </w:r>
          </w:p>
        </w:tc>
        <w:tc>
          <w:tcPr>
            <w:tcW w:w="1984" w:type="dxa"/>
            <w:vAlign w:val="center"/>
          </w:tcPr>
          <w:p w14:paraId="4A17BB8D" w14:textId="77777777" w:rsidR="00DF6AF9" w:rsidRDefault="003F7D0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N/A</w:t>
            </w:r>
          </w:p>
        </w:tc>
        <w:tc>
          <w:tcPr>
            <w:tcW w:w="5406" w:type="dxa"/>
            <w:vAlign w:val="center"/>
          </w:tcPr>
          <w:p w14:paraId="0B82FFCB" w14:textId="77777777" w:rsidR="00DF6AF9" w:rsidRDefault="003F7D0D">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Creación e implementación del documento.</w:t>
            </w:r>
          </w:p>
        </w:tc>
      </w:tr>
    </w:tbl>
    <w:p w14:paraId="642017BA" w14:textId="77777777" w:rsidR="00DF6AF9" w:rsidRDefault="00DF6AF9">
      <w:pPr>
        <w:rPr>
          <w:rFonts w:ascii="Arial" w:eastAsia="Arial" w:hAnsi="Arial" w:cs="Arial"/>
        </w:rPr>
      </w:pPr>
    </w:p>
    <w:tbl>
      <w:tblPr>
        <w:tblStyle w:val="Listaclara-nfasis6"/>
        <w:tblW w:w="1068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A47186" w:rsidRPr="00371650" w14:paraId="5BEA2498" w14:textId="77777777" w:rsidTr="00A47186">
        <w:trPr>
          <w:cnfStyle w:val="100000000000" w:firstRow="1" w:lastRow="0" w:firstColumn="0" w:lastColumn="0" w:oddVBand="0" w:evenVBand="0" w:oddHBand="0"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1536766B" w14:textId="77777777" w:rsidR="00A47186" w:rsidRPr="00C65C56" w:rsidRDefault="00A47186" w:rsidP="008854B4">
            <w:pPr>
              <w:jc w:val="center"/>
              <w:rPr>
                <w:rFonts w:ascii="Arial" w:hAnsi="Arial" w:cs="Arial"/>
                <w:b w:val="0"/>
                <w:color w:val="auto"/>
              </w:rPr>
            </w:pPr>
          </w:p>
        </w:tc>
        <w:tc>
          <w:tcPr>
            <w:tcW w:w="2496" w:type="dxa"/>
            <w:shd w:val="clear" w:color="auto" w:fill="D9D9D9" w:themeFill="background1" w:themeFillShade="D9"/>
          </w:tcPr>
          <w:p w14:paraId="65699DA4" w14:textId="77777777" w:rsidR="00A47186" w:rsidRPr="00371650" w:rsidRDefault="00A47186" w:rsidP="008854B4">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1FD19451" w14:textId="77777777" w:rsidR="00A47186" w:rsidRPr="00371650" w:rsidRDefault="00A47186" w:rsidP="008854B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4633A4F1" w14:textId="77777777" w:rsidR="00A47186" w:rsidRPr="00371650" w:rsidRDefault="00A47186" w:rsidP="008854B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464B9043" w14:textId="77777777" w:rsidR="00A47186" w:rsidRPr="00371650" w:rsidRDefault="00A47186" w:rsidP="008854B4">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A47186" w:rsidRPr="00371650" w14:paraId="332160C3" w14:textId="77777777" w:rsidTr="00A47186">
        <w:trPr>
          <w:cnfStyle w:val="000000100000" w:firstRow="0" w:lastRow="0" w:firstColumn="0" w:lastColumn="0" w:oddVBand="0" w:evenVBand="0" w:oddHBand="1" w:evenHBand="0" w:firstRowFirstColumn="0" w:firstRowLastColumn="0" w:lastRowFirstColumn="0" w:lastRowLastColumn="0"/>
          <w:trHeight w:val="744"/>
          <w:jc w:val="center"/>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408AB548" w14:textId="77777777" w:rsidR="00A47186" w:rsidRPr="00371650" w:rsidRDefault="00A47186" w:rsidP="008854B4">
            <w:pPr>
              <w:ind w:left="-181" w:firstLine="181"/>
              <w:jc w:val="center"/>
              <w:rPr>
                <w:rFonts w:ascii="Arial" w:hAnsi="Arial" w:cs="Arial"/>
              </w:rPr>
            </w:pPr>
            <w:r w:rsidRPr="00371650">
              <w:rPr>
                <w:rFonts w:ascii="Arial" w:hAnsi="Arial" w:cs="Arial"/>
              </w:rPr>
              <w:t>ELABORA</w:t>
            </w:r>
          </w:p>
        </w:tc>
        <w:tc>
          <w:tcPr>
            <w:tcW w:w="2496" w:type="dxa"/>
            <w:vAlign w:val="center"/>
          </w:tcPr>
          <w:p w14:paraId="245971BC" w14:textId="2835A642" w:rsidR="00A47186" w:rsidRPr="00367A16"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39" w:type="dxa"/>
            <w:vAlign w:val="center"/>
            <w:hideMark/>
          </w:tcPr>
          <w:p w14:paraId="166D0653" w14:textId="77777777" w:rsidR="00A47186" w:rsidRPr="00AD71B9"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AD71B9">
              <w:rPr>
                <w:rFonts w:ascii="Arial" w:hAnsi="Arial" w:cs="Arial"/>
                <w:sz w:val="22"/>
                <w:szCs w:val="22"/>
                <w:highlight w:val="yellow"/>
              </w:rPr>
              <w:t>Representante Técnico</w:t>
            </w:r>
          </w:p>
        </w:tc>
        <w:tc>
          <w:tcPr>
            <w:tcW w:w="2850" w:type="dxa"/>
            <w:vAlign w:val="bottom"/>
          </w:tcPr>
          <w:p w14:paraId="6F986D80" w14:textId="3D657C39" w:rsidR="00A47186" w:rsidRPr="00367A16"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18" w:type="dxa"/>
            <w:tcBorders>
              <w:right w:val="single" w:sz="8" w:space="0" w:color="000000"/>
            </w:tcBorders>
            <w:vAlign w:val="center"/>
          </w:tcPr>
          <w:p w14:paraId="45ADAF0D" w14:textId="77777777" w:rsidR="00A47186" w:rsidRPr="00AD71B9" w:rsidRDefault="00A47186" w:rsidP="008854B4">
            <w:pPr>
              <w:jc w:val="center"/>
              <w:cnfStyle w:val="000000100000" w:firstRow="0" w:lastRow="0" w:firstColumn="0" w:lastColumn="0" w:oddVBand="0" w:evenVBand="0" w:oddHBand="1" w:evenHBand="0" w:firstRowFirstColumn="0" w:firstRowLastColumn="0" w:lastRowFirstColumn="0" w:lastRowLastColumn="0"/>
              <w:rPr>
                <w:highlight w:val="yellow"/>
              </w:rPr>
            </w:pPr>
            <w:r w:rsidRPr="00AD71B9">
              <w:rPr>
                <w:rFonts w:ascii="Arial" w:eastAsia="Arial" w:hAnsi="Arial" w:cs="Arial"/>
                <w:color w:val="000000"/>
                <w:highlight w:val="yellow"/>
              </w:rPr>
              <w:t>28/04/2025</w:t>
            </w:r>
          </w:p>
        </w:tc>
      </w:tr>
      <w:tr w:rsidR="00A47186" w:rsidRPr="00371650" w14:paraId="5ED65FED" w14:textId="77777777" w:rsidTr="00A47186">
        <w:trPr>
          <w:trHeight w:val="1124"/>
          <w:jc w:val="center"/>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2289E6EB" w14:textId="77777777" w:rsidR="00A47186" w:rsidRPr="004315EC" w:rsidRDefault="00A47186" w:rsidP="008854B4">
            <w:pPr>
              <w:jc w:val="center"/>
              <w:rPr>
                <w:rFonts w:ascii="Arial" w:hAnsi="Arial" w:cs="Arial"/>
              </w:rPr>
            </w:pPr>
            <w:r w:rsidRPr="00371650">
              <w:rPr>
                <w:rFonts w:ascii="Arial" w:hAnsi="Arial" w:cs="Arial"/>
              </w:rPr>
              <w:t>REVISA</w:t>
            </w:r>
          </w:p>
        </w:tc>
        <w:tc>
          <w:tcPr>
            <w:tcW w:w="2496" w:type="dxa"/>
            <w:vAlign w:val="center"/>
          </w:tcPr>
          <w:p w14:paraId="1F6C8330" w14:textId="2D380A3E" w:rsidR="00A47186" w:rsidRPr="00367A16" w:rsidRDefault="00A47186" w:rsidP="008854B4">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39" w:type="dxa"/>
            <w:vAlign w:val="center"/>
            <w:hideMark/>
          </w:tcPr>
          <w:p w14:paraId="20F19CA9" w14:textId="77777777" w:rsidR="00A47186" w:rsidRPr="00AD71B9" w:rsidRDefault="00A47186" w:rsidP="008854B4">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AD71B9">
              <w:rPr>
                <w:rFonts w:ascii="Arial" w:hAnsi="Arial" w:cs="Arial"/>
                <w:sz w:val="22"/>
                <w:szCs w:val="22"/>
                <w:highlight w:val="yellow"/>
              </w:rPr>
              <w:t>Alta Dirección</w:t>
            </w:r>
          </w:p>
        </w:tc>
        <w:tc>
          <w:tcPr>
            <w:tcW w:w="2850" w:type="dxa"/>
          </w:tcPr>
          <w:p w14:paraId="7013B929" w14:textId="795B6335" w:rsidR="00A47186" w:rsidRPr="00367A16" w:rsidRDefault="00A47186" w:rsidP="008854B4">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518" w:type="dxa"/>
            <w:vAlign w:val="center"/>
          </w:tcPr>
          <w:p w14:paraId="3FB35BD2" w14:textId="77777777" w:rsidR="00A47186" w:rsidRPr="00AD71B9" w:rsidRDefault="00A47186" w:rsidP="008854B4">
            <w:pPr>
              <w:jc w:val="center"/>
              <w:cnfStyle w:val="000000000000" w:firstRow="0" w:lastRow="0" w:firstColumn="0" w:lastColumn="0" w:oddVBand="0" w:evenVBand="0" w:oddHBand="0" w:evenHBand="0" w:firstRowFirstColumn="0" w:firstRowLastColumn="0" w:lastRowFirstColumn="0" w:lastRowLastColumn="0"/>
              <w:rPr>
                <w:highlight w:val="yellow"/>
              </w:rPr>
            </w:pPr>
            <w:r w:rsidRPr="00AD71B9">
              <w:rPr>
                <w:rFonts w:ascii="Arial" w:eastAsia="Arial" w:hAnsi="Arial" w:cs="Arial"/>
                <w:color w:val="000000"/>
                <w:highlight w:val="yellow"/>
              </w:rPr>
              <w:t>28/04/2025</w:t>
            </w:r>
          </w:p>
        </w:tc>
      </w:tr>
      <w:tr w:rsidR="00A47186" w:rsidRPr="009923EA" w14:paraId="2E865200" w14:textId="77777777" w:rsidTr="00A47186">
        <w:trPr>
          <w:cnfStyle w:val="000000100000" w:firstRow="0" w:lastRow="0" w:firstColumn="0" w:lastColumn="0" w:oddVBand="0" w:evenVBand="0" w:oddHBand="1" w:evenHBand="0" w:firstRowFirstColumn="0" w:firstRowLastColumn="0" w:lastRowFirstColumn="0" w:lastRowLastColumn="0"/>
          <w:trHeight w:val="903"/>
          <w:jc w:val="center"/>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bottom w:val="single" w:sz="8" w:space="0" w:color="000000"/>
            </w:tcBorders>
            <w:vAlign w:val="center"/>
          </w:tcPr>
          <w:p w14:paraId="612B02BA" w14:textId="77777777" w:rsidR="00A47186" w:rsidRPr="00371650" w:rsidRDefault="00A47186" w:rsidP="008854B4">
            <w:pPr>
              <w:jc w:val="center"/>
              <w:rPr>
                <w:rFonts w:ascii="Arial" w:hAnsi="Arial" w:cs="Arial"/>
              </w:rPr>
            </w:pPr>
            <w:r w:rsidRPr="00371650">
              <w:rPr>
                <w:rFonts w:ascii="Arial" w:hAnsi="Arial" w:cs="Arial"/>
              </w:rPr>
              <w:t>AUTORIZA</w:t>
            </w:r>
          </w:p>
        </w:tc>
        <w:tc>
          <w:tcPr>
            <w:tcW w:w="2496" w:type="dxa"/>
            <w:tcBorders>
              <w:bottom w:val="single" w:sz="8" w:space="0" w:color="000000"/>
            </w:tcBorders>
            <w:vAlign w:val="center"/>
          </w:tcPr>
          <w:p w14:paraId="4A148E88" w14:textId="59EDC550" w:rsidR="00A47186" w:rsidRPr="00367A16"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39" w:type="dxa"/>
            <w:tcBorders>
              <w:bottom w:val="single" w:sz="8" w:space="0" w:color="000000"/>
            </w:tcBorders>
            <w:vAlign w:val="center"/>
          </w:tcPr>
          <w:p w14:paraId="11ACE601" w14:textId="77777777" w:rsidR="00A47186" w:rsidRPr="00AD71B9"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AD71B9">
              <w:rPr>
                <w:rFonts w:ascii="Arial" w:hAnsi="Arial" w:cs="Arial"/>
                <w:sz w:val="22"/>
                <w:szCs w:val="22"/>
                <w:highlight w:val="yellow"/>
              </w:rPr>
              <w:t>Alta Dirección</w:t>
            </w:r>
          </w:p>
        </w:tc>
        <w:tc>
          <w:tcPr>
            <w:tcW w:w="2850" w:type="dxa"/>
            <w:tcBorders>
              <w:bottom w:val="single" w:sz="8" w:space="0" w:color="000000"/>
            </w:tcBorders>
          </w:tcPr>
          <w:p w14:paraId="31006BBD" w14:textId="41F9D38D" w:rsidR="00A47186" w:rsidRPr="00367A16" w:rsidRDefault="00A47186" w:rsidP="008854B4">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518" w:type="dxa"/>
            <w:tcBorders>
              <w:bottom w:val="single" w:sz="8" w:space="0" w:color="000000"/>
              <w:right w:val="single" w:sz="8" w:space="0" w:color="000000"/>
            </w:tcBorders>
            <w:vAlign w:val="center"/>
          </w:tcPr>
          <w:p w14:paraId="7831EE0D" w14:textId="77777777" w:rsidR="00A47186" w:rsidRPr="00AD71B9" w:rsidRDefault="00A47186" w:rsidP="008854B4">
            <w:pPr>
              <w:jc w:val="center"/>
              <w:cnfStyle w:val="000000100000" w:firstRow="0" w:lastRow="0" w:firstColumn="0" w:lastColumn="0" w:oddVBand="0" w:evenVBand="0" w:oddHBand="1" w:evenHBand="0" w:firstRowFirstColumn="0" w:firstRowLastColumn="0" w:lastRowFirstColumn="0" w:lastRowLastColumn="0"/>
              <w:rPr>
                <w:highlight w:val="yellow"/>
              </w:rPr>
            </w:pPr>
            <w:r w:rsidRPr="00AD71B9">
              <w:rPr>
                <w:rFonts w:ascii="Arial" w:eastAsia="Arial" w:hAnsi="Arial" w:cs="Arial"/>
                <w:color w:val="000000"/>
                <w:highlight w:val="yellow"/>
              </w:rPr>
              <w:t>28/04/2025</w:t>
            </w:r>
          </w:p>
        </w:tc>
      </w:tr>
    </w:tbl>
    <w:p w14:paraId="3E3B28B7" w14:textId="77777777" w:rsidR="00DF6AF9" w:rsidRDefault="00DF6AF9">
      <w:pPr>
        <w:rPr>
          <w:rFonts w:ascii="Arial" w:eastAsia="Arial" w:hAnsi="Arial" w:cs="Arial"/>
        </w:rPr>
      </w:pPr>
    </w:p>
    <w:p w14:paraId="7E95CEC4" w14:textId="77777777" w:rsidR="00DF6AF9" w:rsidRDefault="00DF6AF9">
      <w:pPr>
        <w:rPr>
          <w:rFonts w:ascii="Arial" w:eastAsia="Arial" w:hAnsi="Arial" w:cs="Arial"/>
        </w:rPr>
      </w:pPr>
    </w:p>
    <w:p w14:paraId="542A30AF" w14:textId="6DD0A211" w:rsidR="00DF6AF9" w:rsidRDefault="00DF6AF9">
      <w:pPr>
        <w:rPr>
          <w:rFonts w:ascii="Arial" w:eastAsia="Arial" w:hAnsi="Arial" w:cs="Arial"/>
        </w:rPr>
      </w:pPr>
    </w:p>
    <w:sectPr w:rsidR="00DF6AF9">
      <w:type w:val="continuous"/>
      <w:pgSz w:w="12240" w:h="15840"/>
      <w:pgMar w:top="1418" w:right="1134" w:bottom="1134" w:left="1276" w:header="720" w:footer="4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CD59" w14:textId="77777777" w:rsidR="00B80FDC" w:rsidRDefault="00B80FDC">
      <w:r>
        <w:separator/>
      </w:r>
    </w:p>
  </w:endnote>
  <w:endnote w:type="continuationSeparator" w:id="0">
    <w:p w14:paraId="46E7C9B0" w14:textId="77777777" w:rsidR="00B80FDC" w:rsidRDefault="00B80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OlSt BT">
    <w:altName w:val="Georgia"/>
    <w:charset w:val="00"/>
    <w:family w:val="roman"/>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Bodoni">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arajita">
    <w:altName w:val="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8F32" w14:textId="77777777" w:rsidR="00DF6AF9" w:rsidRDefault="00DF6AF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0099" w14:textId="77777777" w:rsidR="00A47186" w:rsidRPr="001A04C7" w:rsidRDefault="00A47186" w:rsidP="00A47186">
    <w:pPr>
      <w:tabs>
        <w:tab w:val="center" w:pos="4419"/>
        <w:tab w:val="right" w:pos="8838"/>
      </w:tabs>
      <w:jc w:val="center"/>
      <w:rPr>
        <w:rFonts w:ascii="Arial" w:eastAsia="Arial" w:hAnsi="Arial" w:cs="Arial"/>
        <w:b/>
        <w:bCs/>
        <w:sz w:val="16"/>
        <w:szCs w:val="16"/>
      </w:rPr>
    </w:pPr>
    <w:bookmarkStart w:id="0" w:name="_Hlk196744755"/>
    <w:r w:rsidRPr="00AD71B9">
      <w:rPr>
        <w:rFonts w:ascii="Arial" w:eastAsia="Arial" w:hAnsi="Arial" w:cs="Arial"/>
        <w:b/>
        <w:bCs/>
        <w:sz w:val="16"/>
        <w:szCs w:val="16"/>
        <w:highlight w:val="yellow"/>
      </w:rPr>
      <w:t>KM. 13.5 CARRETERA PANAMERICANA S/N PUENTE ALTO, 32675, JUAREZ, CHIHUAHUA</w:t>
    </w:r>
    <w:bookmarkEnd w:id="0"/>
    <w:r w:rsidRPr="00AD71B9">
      <w:rPr>
        <w:rFonts w:ascii="Arial" w:eastAsia="Arial" w:hAnsi="Arial" w:cs="Arial"/>
        <w:b/>
        <w:bCs/>
        <w:sz w:val="16"/>
        <w:szCs w:val="16"/>
        <w:highlight w:val="yellow"/>
      </w:rPr>
      <w:t>, SUPERSERVICIO CUATRO CAMINOS S.A. DE C.V.</w:t>
    </w:r>
  </w:p>
  <w:p w14:paraId="19E7DFD1" w14:textId="511C98A0" w:rsidR="00DF6AF9" w:rsidRDefault="003F7D0D" w:rsidP="00AE5260">
    <w:pPr>
      <w:tabs>
        <w:tab w:val="center" w:pos="4419"/>
        <w:tab w:val="right" w:pos="8838"/>
      </w:tabs>
      <w:jc w:val="center"/>
      <w:rPr>
        <w:rFonts w:ascii="Arial" w:eastAsia="Arial" w:hAnsi="Arial" w:cs="Arial"/>
        <w:color w:val="000000"/>
        <w:sz w:val="14"/>
        <w:szCs w:val="14"/>
      </w:rPr>
    </w:pPr>
    <w:r>
      <w:rPr>
        <w:rFonts w:ascii="Arial" w:eastAsia="Arial" w:hAnsi="Arial" w:cs="Arial"/>
        <w:color w:val="000000"/>
        <w:sz w:val="12"/>
        <w:szCs w:val="12"/>
      </w:rPr>
      <w:t>ESTE DOCUMENTO ES CONTROLADO POR LO QUE NO DEBERÁ FOTOCOPIARSE O IMPRIMIRSE SIN LA AUTORIZACIÓN DE LA ESTACIÓN</w:t>
    </w:r>
    <w:r w:rsidR="005F78B8">
      <w:rPr>
        <w:rFonts w:ascii="Arial" w:eastAsia="Arial" w:hAnsi="Arial" w:cs="Arial"/>
        <w:color w:val="000000"/>
        <w:sz w:val="12"/>
        <w:szCs w:val="12"/>
      </w:rPr>
      <w:t>.</w:t>
    </w:r>
  </w:p>
  <w:p w14:paraId="6F8209E6" w14:textId="77777777" w:rsidR="00DF6AF9" w:rsidRDefault="003F7D0D">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8EDC6" w14:textId="77777777" w:rsidR="00DF6AF9" w:rsidRDefault="00DF6AF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B1BD" w14:textId="77777777" w:rsidR="00B80FDC" w:rsidRDefault="00B80FDC">
      <w:r>
        <w:separator/>
      </w:r>
    </w:p>
  </w:footnote>
  <w:footnote w:type="continuationSeparator" w:id="0">
    <w:p w14:paraId="6DFA5266" w14:textId="77777777" w:rsidR="00B80FDC" w:rsidRDefault="00B80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CBFE" w14:textId="77777777" w:rsidR="00DF6AF9" w:rsidRDefault="00DF6AF9">
    <w:pPr>
      <w:pBdr>
        <w:top w:val="nil"/>
        <w:left w:val="nil"/>
        <w:bottom w:val="nil"/>
        <w:right w:val="nil"/>
        <w:between w:val="nil"/>
      </w:pBdr>
      <w:tabs>
        <w:tab w:val="center" w:pos="4419"/>
        <w:tab w:val="right" w:pos="8838"/>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B9A0" w14:textId="77777777" w:rsidR="00DF6AF9" w:rsidRDefault="00DF6AF9">
    <w:pPr>
      <w:widowControl w:val="0"/>
      <w:pBdr>
        <w:top w:val="nil"/>
        <w:left w:val="nil"/>
        <w:bottom w:val="nil"/>
        <w:right w:val="nil"/>
        <w:between w:val="nil"/>
      </w:pBdr>
      <w:spacing w:line="276" w:lineRule="auto"/>
      <w:rPr>
        <w:rFonts w:ascii="Arial" w:eastAsia="Arial" w:hAnsi="Arial" w:cs="Arial"/>
      </w:rPr>
    </w:pPr>
  </w:p>
  <w:tbl>
    <w:tblPr>
      <w:tblStyle w:val="a4"/>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A47186" w14:paraId="5A93A88A" w14:textId="77777777" w:rsidTr="008854B4">
      <w:trPr>
        <w:trHeight w:val="1023"/>
        <w:jc w:val="center"/>
      </w:trPr>
      <w:tc>
        <w:tcPr>
          <w:tcW w:w="2782" w:type="dxa"/>
          <w:vMerge w:val="restart"/>
          <w:tcBorders>
            <w:bottom w:val="single" w:sz="4" w:space="0" w:color="000000"/>
          </w:tcBorders>
          <w:vAlign w:val="center"/>
        </w:tcPr>
        <w:p w14:paraId="411A481D" w14:textId="66D61160" w:rsidR="00A47186" w:rsidRDefault="00AD71B9" w:rsidP="00A47186">
          <w:pPr>
            <w:jc w:val="center"/>
            <w:rPr>
              <w:rFonts w:ascii="Aparajita" w:eastAsia="Aparajita" w:hAnsi="Aparajita" w:cs="Aparajita"/>
            </w:rPr>
          </w:pPr>
          <w:r w:rsidRPr="00AD71B9">
            <w:rPr>
              <w:rFonts w:ascii="Aparajita" w:hAnsi="Aparajita" w:cs="Aparajita"/>
              <w:b/>
              <w:noProof/>
              <w:highlight w:val="yellow"/>
              <w:lang w:val="en-US" w:eastAsia="en-US"/>
            </w:rPr>
            <w:t>LOGO</w:t>
          </w:r>
        </w:p>
      </w:tc>
      <w:tc>
        <w:tcPr>
          <w:tcW w:w="5485" w:type="dxa"/>
          <w:tcBorders>
            <w:bottom w:val="single" w:sz="4" w:space="0" w:color="000000"/>
          </w:tcBorders>
          <w:vAlign w:val="center"/>
        </w:tcPr>
        <w:p w14:paraId="284D5C40" w14:textId="77777777" w:rsidR="00A47186" w:rsidRDefault="00A47186" w:rsidP="00A47186">
          <w:pPr>
            <w:jc w:val="center"/>
            <w:rPr>
              <w:rFonts w:ascii="Aparajita" w:eastAsia="Aparajita" w:hAnsi="Aparajita" w:cs="Aparajita"/>
              <w:b/>
              <w:sz w:val="21"/>
              <w:szCs w:val="21"/>
            </w:rPr>
          </w:pPr>
          <w:r w:rsidRPr="00AD71B9">
            <w:rPr>
              <w:rFonts w:ascii="Aparajita" w:eastAsia="Aparajita" w:hAnsi="Aparajita" w:cs="Aparajita"/>
              <w:b/>
              <w:sz w:val="21"/>
              <w:szCs w:val="21"/>
              <w:highlight w:val="yellow"/>
            </w:rPr>
            <w:t>SUPERSERVICIO CUATRO CAMINOS S.A DE C.V.</w:t>
          </w:r>
        </w:p>
        <w:p w14:paraId="3AD8C350" w14:textId="77777777" w:rsidR="00A47186" w:rsidRDefault="00A47186" w:rsidP="00A47186">
          <w:pPr>
            <w:jc w:val="center"/>
            <w:rPr>
              <w:rFonts w:ascii="Aparajita" w:eastAsia="Aparajita" w:hAnsi="Aparajita" w:cs="Aparajita"/>
              <w:b/>
              <w:sz w:val="23"/>
              <w:szCs w:val="23"/>
            </w:rPr>
          </w:pP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28C9B984" w14:textId="77777777" w:rsidR="00A47186" w:rsidRDefault="00A47186" w:rsidP="00A47186">
          <w:pPr>
            <w:rPr>
              <w:rFonts w:ascii="Aparajita" w:eastAsia="Aparajita" w:hAnsi="Aparajita" w:cs="Aparajita"/>
              <w:sz w:val="18"/>
              <w:szCs w:val="18"/>
            </w:rPr>
          </w:pPr>
          <w:r>
            <w:rPr>
              <w:rFonts w:ascii="Aparajita" w:eastAsia="Aparajita" w:hAnsi="Aparajita" w:cs="Aparajita"/>
              <w:sz w:val="18"/>
              <w:szCs w:val="18"/>
            </w:rPr>
            <w:t>Revisión: 0</w:t>
          </w:r>
        </w:p>
        <w:p w14:paraId="5DDED48B" w14:textId="77777777" w:rsidR="00A47186" w:rsidRDefault="00A47186" w:rsidP="00A4718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Pr>
              <w:rFonts w:ascii="Aparajita" w:eastAsia="Aparajita" w:hAnsi="Aparajita" w:cs="Aparajita"/>
              <w:noProof/>
              <w:sz w:val="18"/>
              <w:szCs w:val="18"/>
            </w:rPr>
            <w:t>1</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Pr>
              <w:rFonts w:ascii="Aparajita" w:eastAsia="Aparajita" w:hAnsi="Aparajita" w:cs="Aparajita"/>
              <w:noProof/>
              <w:sz w:val="18"/>
              <w:szCs w:val="18"/>
            </w:rPr>
            <w:t>8</w:t>
          </w:r>
          <w:r>
            <w:rPr>
              <w:rFonts w:ascii="Aparajita" w:eastAsia="Aparajita" w:hAnsi="Aparajita" w:cs="Aparajita"/>
              <w:sz w:val="18"/>
              <w:szCs w:val="18"/>
            </w:rPr>
            <w:fldChar w:fldCharType="end"/>
          </w:r>
        </w:p>
        <w:p w14:paraId="488CBF4C" w14:textId="77777777" w:rsidR="00A47186" w:rsidRPr="00AE5260" w:rsidRDefault="00A47186" w:rsidP="00A47186">
          <w:pPr>
            <w:rPr>
              <w:rFonts w:ascii="Aparajita" w:eastAsia="Aparajita" w:hAnsi="Aparajita" w:cs="Aparajita"/>
              <w:sz w:val="18"/>
              <w:szCs w:val="18"/>
            </w:rPr>
          </w:pPr>
          <w:r>
            <w:rPr>
              <w:rFonts w:ascii="Aparajita" w:eastAsia="Aparajita" w:hAnsi="Aparajita" w:cs="Aparajita"/>
              <w:sz w:val="18"/>
              <w:szCs w:val="18"/>
            </w:rPr>
            <w:t>Efectivo:</w:t>
          </w:r>
          <w:r w:rsidRPr="00367A16">
            <w:rPr>
              <w:rFonts w:ascii="Aparajita" w:eastAsia="Aparajita" w:hAnsi="Aparajita" w:cs="Aparajita"/>
              <w:sz w:val="18"/>
              <w:szCs w:val="18"/>
            </w:rPr>
            <w:t xml:space="preserve"> </w:t>
          </w:r>
          <w:r w:rsidRPr="00AD71B9">
            <w:rPr>
              <w:rFonts w:ascii="Aparajita" w:eastAsia="Aparajita" w:hAnsi="Aparajita" w:cs="Aparajita"/>
              <w:sz w:val="18"/>
              <w:szCs w:val="18"/>
              <w:highlight w:val="yellow"/>
            </w:rPr>
            <w:t>28/04/2025</w:t>
          </w:r>
        </w:p>
      </w:tc>
    </w:tr>
    <w:tr w:rsidR="00A47186" w14:paraId="5C737733" w14:textId="77777777" w:rsidTr="008854B4">
      <w:trPr>
        <w:trHeight w:val="1105"/>
        <w:jc w:val="center"/>
      </w:trPr>
      <w:tc>
        <w:tcPr>
          <w:tcW w:w="2782" w:type="dxa"/>
          <w:vMerge/>
          <w:tcBorders>
            <w:bottom w:val="single" w:sz="4" w:space="0" w:color="000000"/>
          </w:tcBorders>
          <w:vAlign w:val="center"/>
        </w:tcPr>
        <w:p w14:paraId="6DB59F7B" w14:textId="77777777" w:rsidR="00A47186" w:rsidRDefault="00A47186" w:rsidP="00A47186">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6BB41A5B" w14:textId="77777777" w:rsidR="00A47186" w:rsidRDefault="00A47186" w:rsidP="00A47186">
          <w:pPr>
            <w:jc w:val="center"/>
            <w:rPr>
              <w:rFonts w:ascii="Aparajita" w:eastAsia="Aparajita" w:hAnsi="Aparajita" w:cs="Aparajita"/>
            </w:rPr>
          </w:pPr>
          <w:r>
            <w:rPr>
              <w:rFonts w:ascii="Aparajita" w:eastAsia="Aparajita" w:hAnsi="Aparajita" w:cs="Aparajita"/>
            </w:rPr>
            <w:t>M-00</w:t>
          </w:r>
        </w:p>
        <w:p w14:paraId="77640BD1" w14:textId="77777777" w:rsidR="00A47186" w:rsidRDefault="00A47186" w:rsidP="00A47186">
          <w:pPr>
            <w:jc w:val="center"/>
            <w:rPr>
              <w:rFonts w:ascii="Aparajita" w:eastAsia="Aparajita" w:hAnsi="Aparajita" w:cs="Aparajita"/>
            </w:rPr>
          </w:pPr>
          <w:r>
            <w:rPr>
              <w:rFonts w:ascii="Aparajita" w:eastAsia="Aparajita" w:hAnsi="Aparajita" w:cs="Aparajita"/>
            </w:rPr>
            <w:t>Introducción, Alcance y Referencias Normativas, Términos y Definiciones.</w:t>
          </w:r>
        </w:p>
      </w:tc>
      <w:tc>
        <w:tcPr>
          <w:tcW w:w="1977" w:type="dxa"/>
          <w:vMerge/>
        </w:tcPr>
        <w:p w14:paraId="54264D61" w14:textId="77777777" w:rsidR="00A47186" w:rsidRDefault="00A47186" w:rsidP="00A47186">
          <w:pPr>
            <w:widowControl w:val="0"/>
            <w:pBdr>
              <w:top w:val="nil"/>
              <w:left w:val="nil"/>
              <w:bottom w:val="nil"/>
              <w:right w:val="nil"/>
              <w:between w:val="nil"/>
            </w:pBdr>
            <w:spacing w:line="276" w:lineRule="auto"/>
            <w:rPr>
              <w:rFonts w:ascii="Aparajita" w:eastAsia="Aparajita" w:hAnsi="Aparajita" w:cs="Aparajita"/>
            </w:rPr>
          </w:pPr>
        </w:p>
      </w:tc>
    </w:tr>
  </w:tbl>
  <w:p w14:paraId="6D9FE02B" w14:textId="77777777" w:rsidR="00DF6AF9" w:rsidRDefault="00DF6AF9">
    <w:pPr>
      <w:pBdr>
        <w:top w:val="nil"/>
        <w:left w:val="nil"/>
        <w:bottom w:val="nil"/>
        <w:right w:val="nil"/>
        <w:between w:val="nil"/>
      </w:pBdr>
      <w:tabs>
        <w:tab w:val="center" w:pos="4419"/>
        <w:tab w:val="right" w:pos="8838"/>
      </w:tabs>
      <w:rPr>
        <w:rFonts w:ascii="Arial" w:eastAsia="Arial" w:hAnsi="Arial" w:cs="Arial"/>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76B5" w14:textId="77777777" w:rsidR="00DF6AF9" w:rsidRDefault="00DF6AF9">
    <w:pPr>
      <w:widowControl w:val="0"/>
      <w:pBdr>
        <w:top w:val="nil"/>
        <w:left w:val="nil"/>
        <w:bottom w:val="nil"/>
        <w:right w:val="nil"/>
        <w:between w:val="nil"/>
      </w:pBdr>
      <w:spacing w:line="276" w:lineRule="auto"/>
      <w:rPr>
        <w:color w:val="000000"/>
        <w:sz w:val="20"/>
        <w:szCs w:val="20"/>
      </w:rPr>
    </w:pPr>
  </w:p>
  <w:tbl>
    <w:tblPr>
      <w:tblStyle w:val="a4"/>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DF6AF9" w14:paraId="5191EA53" w14:textId="77777777" w:rsidTr="00A47186">
      <w:trPr>
        <w:trHeight w:val="1023"/>
        <w:jc w:val="center"/>
      </w:trPr>
      <w:tc>
        <w:tcPr>
          <w:tcW w:w="2782" w:type="dxa"/>
          <w:vMerge w:val="restart"/>
          <w:tcBorders>
            <w:bottom w:val="single" w:sz="4" w:space="0" w:color="000000"/>
          </w:tcBorders>
          <w:vAlign w:val="center"/>
        </w:tcPr>
        <w:p w14:paraId="1D28E169" w14:textId="4F9595C6" w:rsidR="00DF6AF9" w:rsidRDefault="00AD71B9" w:rsidP="00A47186">
          <w:pPr>
            <w:jc w:val="center"/>
            <w:rPr>
              <w:rFonts w:ascii="Aparajita" w:eastAsia="Aparajita" w:hAnsi="Aparajita" w:cs="Aparajita"/>
            </w:rPr>
          </w:pPr>
          <w:r w:rsidRPr="00AD71B9">
            <w:rPr>
              <w:rFonts w:ascii="Aparajita" w:hAnsi="Aparajita" w:cs="Aparajita"/>
              <w:b/>
              <w:noProof/>
              <w:highlight w:val="yellow"/>
              <w:lang w:val="en-US" w:eastAsia="en-US"/>
            </w:rPr>
            <w:t>LOGO</w:t>
          </w:r>
        </w:p>
      </w:tc>
      <w:tc>
        <w:tcPr>
          <w:tcW w:w="5485" w:type="dxa"/>
          <w:tcBorders>
            <w:bottom w:val="single" w:sz="4" w:space="0" w:color="000000"/>
          </w:tcBorders>
          <w:vAlign w:val="center"/>
        </w:tcPr>
        <w:p w14:paraId="42FD4C14" w14:textId="77777777" w:rsidR="00A47186" w:rsidRDefault="00A47186" w:rsidP="00A47186">
          <w:pPr>
            <w:jc w:val="center"/>
            <w:rPr>
              <w:rFonts w:ascii="Aparajita" w:eastAsia="Aparajita" w:hAnsi="Aparajita" w:cs="Aparajita"/>
              <w:b/>
              <w:sz w:val="21"/>
              <w:szCs w:val="21"/>
            </w:rPr>
          </w:pPr>
          <w:r w:rsidRPr="00AD71B9">
            <w:rPr>
              <w:rFonts w:ascii="Aparajita" w:eastAsia="Aparajita" w:hAnsi="Aparajita" w:cs="Aparajita"/>
              <w:b/>
              <w:sz w:val="21"/>
              <w:szCs w:val="21"/>
              <w:highlight w:val="yellow"/>
            </w:rPr>
            <w:t>SUPERSERVICIO CUATRO CAMINOS S.A DE C.V.</w:t>
          </w:r>
        </w:p>
        <w:p w14:paraId="22813AE6" w14:textId="03FE15DB" w:rsidR="00DF6AF9" w:rsidRDefault="003F7D0D">
          <w:pPr>
            <w:jc w:val="center"/>
            <w:rPr>
              <w:rFonts w:ascii="Aparajita" w:eastAsia="Aparajita" w:hAnsi="Aparajita" w:cs="Aparajita"/>
              <w:b/>
              <w:sz w:val="23"/>
              <w:szCs w:val="23"/>
            </w:rPr>
          </w:pP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52BD3C21" w14:textId="77777777" w:rsidR="00DF6AF9" w:rsidRDefault="003F7D0D">
          <w:pPr>
            <w:rPr>
              <w:rFonts w:ascii="Aparajita" w:eastAsia="Aparajita" w:hAnsi="Aparajita" w:cs="Aparajita"/>
              <w:sz w:val="18"/>
              <w:szCs w:val="18"/>
            </w:rPr>
          </w:pPr>
          <w:r>
            <w:rPr>
              <w:rFonts w:ascii="Aparajita" w:eastAsia="Aparajita" w:hAnsi="Aparajita" w:cs="Aparajita"/>
              <w:sz w:val="18"/>
              <w:szCs w:val="18"/>
            </w:rPr>
            <w:t>Revisión: 0</w:t>
          </w:r>
        </w:p>
        <w:p w14:paraId="40B8AF21" w14:textId="1FEE9D31" w:rsidR="00DF6AF9" w:rsidRDefault="003F7D0D">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283031">
            <w:rPr>
              <w:rFonts w:ascii="Aparajita" w:eastAsia="Aparajita" w:hAnsi="Aparajita" w:cs="Aparajita"/>
              <w:noProof/>
              <w:sz w:val="18"/>
              <w:szCs w:val="18"/>
            </w:rPr>
            <w:t>1</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83031">
            <w:rPr>
              <w:rFonts w:ascii="Aparajita" w:eastAsia="Aparajita" w:hAnsi="Aparajita" w:cs="Aparajita"/>
              <w:noProof/>
              <w:sz w:val="18"/>
              <w:szCs w:val="18"/>
            </w:rPr>
            <w:t>8</w:t>
          </w:r>
          <w:r>
            <w:rPr>
              <w:rFonts w:ascii="Aparajita" w:eastAsia="Aparajita" w:hAnsi="Aparajita" w:cs="Aparajita"/>
              <w:sz w:val="18"/>
              <w:szCs w:val="18"/>
            </w:rPr>
            <w:fldChar w:fldCharType="end"/>
          </w:r>
        </w:p>
        <w:p w14:paraId="08236979" w14:textId="0496EC8E" w:rsidR="00DF6AF9" w:rsidRPr="00AE5260" w:rsidRDefault="00AE5260" w:rsidP="00AE5260">
          <w:pPr>
            <w:rPr>
              <w:rFonts w:ascii="Aparajita" w:eastAsia="Aparajita" w:hAnsi="Aparajita" w:cs="Aparajita"/>
              <w:sz w:val="18"/>
              <w:szCs w:val="18"/>
            </w:rPr>
          </w:pPr>
          <w:r>
            <w:rPr>
              <w:rFonts w:ascii="Aparajita" w:eastAsia="Aparajita" w:hAnsi="Aparajita" w:cs="Aparajita"/>
              <w:sz w:val="18"/>
              <w:szCs w:val="18"/>
            </w:rPr>
            <w:t>Efectivo:</w:t>
          </w:r>
          <w:r w:rsidR="00A47186" w:rsidRPr="00367A16">
            <w:rPr>
              <w:rFonts w:ascii="Aparajita" w:eastAsia="Aparajita" w:hAnsi="Aparajita" w:cs="Aparajita"/>
              <w:sz w:val="18"/>
              <w:szCs w:val="18"/>
            </w:rPr>
            <w:t xml:space="preserve"> </w:t>
          </w:r>
          <w:r w:rsidR="00A47186" w:rsidRPr="00AD71B9">
            <w:rPr>
              <w:rFonts w:ascii="Aparajita" w:eastAsia="Aparajita" w:hAnsi="Aparajita" w:cs="Aparajita"/>
              <w:sz w:val="18"/>
              <w:szCs w:val="18"/>
              <w:highlight w:val="yellow"/>
            </w:rPr>
            <w:t>28/04/2025</w:t>
          </w:r>
        </w:p>
      </w:tc>
    </w:tr>
    <w:tr w:rsidR="00DF6AF9" w14:paraId="2DFA20E2" w14:textId="77777777">
      <w:trPr>
        <w:trHeight w:val="1105"/>
        <w:jc w:val="center"/>
      </w:trPr>
      <w:tc>
        <w:tcPr>
          <w:tcW w:w="2782" w:type="dxa"/>
          <w:vMerge/>
          <w:tcBorders>
            <w:bottom w:val="single" w:sz="4" w:space="0" w:color="000000"/>
          </w:tcBorders>
          <w:vAlign w:val="center"/>
        </w:tcPr>
        <w:p w14:paraId="65D741CD" w14:textId="77777777" w:rsidR="00DF6AF9" w:rsidRDefault="00DF6AF9">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0E043289" w14:textId="77777777" w:rsidR="00DF6AF9" w:rsidRDefault="003F7D0D">
          <w:pPr>
            <w:jc w:val="center"/>
            <w:rPr>
              <w:rFonts w:ascii="Aparajita" w:eastAsia="Aparajita" w:hAnsi="Aparajita" w:cs="Aparajita"/>
            </w:rPr>
          </w:pPr>
          <w:r>
            <w:rPr>
              <w:rFonts w:ascii="Aparajita" w:eastAsia="Aparajita" w:hAnsi="Aparajita" w:cs="Aparajita"/>
            </w:rPr>
            <w:t>M-00</w:t>
          </w:r>
        </w:p>
        <w:p w14:paraId="52137C2C" w14:textId="77777777" w:rsidR="00DF6AF9" w:rsidRDefault="003F7D0D">
          <w:pPr>
            <w:jc w:val="center"/>
            <w:rPr>
              <w:rFonts w:ascii="Aparajita" w:eastAsia="Aparajita" w:hAnsi="Aparajita" w:cs="Aparajita"/>
            </w:rPr>
          </w:pPr>
          <w:r>
            <w:rPr>
              <w:rFonts w:ascii="Aparajita" w:eastAsia="Aparajita" w:hAnsi="Aparajita" w:cs="Aparajita"/>
            </w:rPr>
            <w:t>Introducción, Alcance y Referencias Normativas, Términos y Definiciones.</w:t>
          </w:r>
        </w:p>
      </w:tc>
      <w:tc>
        <w:tcPr>
          <w:tcW w:w="1977" w:type="dxa"/>
          <w:vMerge/>
        </w:tcPr>
        <w:p w14:paraId="508F8BFC" w14:textId="77777777" w:rsidR="00DF6AF9" w:rsidRDefault="00DF6AF9">
          <w:pPr>
            <w:widowControl w:val="0"/>
            <w:pBdr>
              <w:top w:val="nil"/>
              <w:left w:val="nil"/>
              <w:bottom w:val="nil"/>
              <w:right w:val="nil"/>
              <w:between w:val="nil"/>
            </w:pBdr>
            <w:spacing w:line="276" w:lineRule="auto"/>
            <w:rPr>
              <w:rFonts w:ascii="Aparajita" w:eastAsia="Aparajita" w:hAnsi="Aparajita" w:cs="Aparajita"/>
            </w:rPr>
          </w:pPr>
        </w:p>
      </w:tc>
    </w:tr>
  </w:tbl>
  <w:p w14:paraId="6FCC4BE0" w14:textId="77777777" w:rsidR="00DF6AF9" w:rsidRDefault="00DF6AF9">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1185"/>
    <w:multiLevelType w:val="multilevel"/>
    <w:tmpl w:val="97C26D66"/>
    <w:lvl w:ilvl="0">
      <w:start w:val="1"/>
      <w:numFmt w:val="bullet"/>
      <w:pStyle w:val="Estilo1"/>
      <w:lvlText w:val="⮚"/>
      <w:lvlJc w:val="left"/>
      <w:pPr>
        <w:ind w:left="1004" w:hanging="360"/>
      </w:pPr>
      <w:rPr>
        <w:rFonts w:ascii="Noto Sans Symbols" w:eastAsia="Noto Sans Symbols" w:hAnsi="Noto Sans Symbols" w:cs="Noto Sans Symbols"/>
      </w:rPr>
    </w:lvl>
    <w:lvl w:ilvl="1">
      <w:start w:val="1"/>
      <w:numFmt w:val="bullet"/>
      <w:pStyle w:val="Estilo2"/>
      <w:lvlText w:val="o"/>
      <w:lvlJc w:val="left"/>
      <w:pPr>
        <w:ind w:left="1724" w:hanging="360"/>
      </w:pPr>
      <w:rPr>
        <w:rFonts w:ascii="Courier New" w:eastAsia="Courier New" w:hAnsi="Courier New" w:cs="Courier New"/>
      </w:rPr>
    </w:lvl>
    <w:lvl w:ilvl="2">
      <w:start w:val="1"/>
      <w:numFmt w:val="bullet"/>
      <w:pStyle w:val="Estilo3"/>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1596018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AF9"/>
    <w:rsid w:val="00215F58"/>
    <w:rsid w:val="00283031"/>
    <w:rsid w:val="0029121C"/>
    <w:rsid w:val="002C49C3"/>
    <w:rsid w:val="003938DE"/>
    <w:rsid w:val="003F7D0D"/>
    <w:rsid w:val="00442284"/>
    <w:rsid w:val="00466245"/>
    <w:rsid w:val="005F78B8"/>
    <w:rsid w:val="006102AD"/>
    <w:rsid w:val="006C3CA5"/>
    <w:rsid w:val="007239C5"/>
    <w:rsid w:val="007F50D3"/>
    <w:rsid w:val="007F538F"/>
    <w:rsid w:val="00982762"/>
    <w:rsid w:val="00A47186"/>
    <w:rsid w:val="00AA0623"/>
    <w:rsid w:val="00AD71B9"/>
    <w:rsid w:val="00AE5260"/>
    <w:rsid w:val="00B80FDC"/>
    <w:rsid w:val="00C602B1"/>
    <w:rsid w:val="00CE37E0"/>
    <w:rsid w:val="00DF6AF9"/>
    <w:rsid w:val="00E02E16"/>
    <w:rsid w:val="00E4124A"/>
    <w:rsid w:val="00E85C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58E2B"/>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260"/>
    <w:rPr>
      <w:lang w:eastAsia="es-ES"/>
    </w:rPr>
  </w:style>
  <w:style w:type="paragraph" w:styleId="Ttulo1">
    <w:name w:val="heading 1"/>
    <w:basedOn w:val="Normal"/>
    <w:next w:val="Normal"/>
    <w:link w:val="Ttulo1Car"/>
    <w:uiPriority w:val="9"/>
    <w:qFormat/>
    <w:rsid w:val="00571B0F"/>
    <w:pPr>
      <w:keepNext/>
      <w:ind w:left="356"/>
      <w:jc w:val="center"/>
      <w:outlineLvl w:val="0"/>
    </w:pPr>
    <w:rPr>
      <w:rFonts w:ascii="GoudyOlSt BT" w:hAnsi="GoudyOlSt BT"/>
      <w:b/>
      <w:sz w:val="20"/>
    </w:rPr>
  </w:style>
  <w:style w:type="paragraph" w:styleId="Ttulo2">
    <w:name w:val="heading 2"/>
    <w:basedOn w:val="Normal"/>
    <w:next w:val="Normal"/>
    <w:link w:val="Ttulo2Car"/>
    <w:uiPriority w:val="9"/>
    <w:semiHidden/>
    <w:unhideWhenUsed/>
    <w:qFormat/>
    <w:rsid w:val="00571B0F"/>
    <w:pPr>
      <w:keepNext/>
      <w:jc w:val="center"/>
      <w:outlineLvl w:val="1"/>
    </w:pPr>
    <w:rPr>
      <w:rFonts w:ascii="GoudyOlSt BT" w:hAnsi="GoudyOlSt BT"/>
      <w:b/>
      <w:sz w:val="18"/>
    </w:rPr>
  </w:style>
  <w:style w:type="paragraph" w:styleId="Ttulo3">
    <w:name w:val="heading 3"/>
    <w:basedOn w:val="Normal"/>
    <w:next w:val="Normal"/>
    <w:link w:val="Ttulo3Car"/>
    <w:uiPriority w:val="9"/>
    <w:semiHidden/>
    <w:unhideWhenUsed/>
    <w:qFormat/>
    <w:rsid w:val="00571B0F"/>
    <w:pPr>
      <w:keepNext/>
      <w:jc w:val="center"/>
      <w:outlineLvl w:val="2"/>
    </w:pPr>
    <w:rPr>
      <w:rFonts w:ascii="GoudyOlSt BT" w:hAnsi="GoudyOlSt BT"/>
      <w:b/>
      <w:sz w:val="16"/>
    </w:rPr>
  </w:style>
  <w:style w:type="paragraph" w:styleId="Ttulo4">
    <w:name w:val="heading 4"/>
    <w:basedOn w:val="Normal"/>
    <w:next w:val="Normal"/>
    <w:link w:val="Ttulo4Car"/>
    <w:uiPriority w:val="9"/>
    <w:semiHidden/>
    <w:unhideWhenUsed/>
    <w:qFormat/>
    <w:rsid w:val="00571B0F"/>
    <w:pPr>
      <w:keepNext/>
      <w:jc w:val="center"/>
      <w:outlineLvl w:val="3"/>
    </w:pPr>
    <w:rPr>
      <w:rFonts w:ascii="GoudyOlSt BT" w:hAnsi="GoudyOlSt BT"/>
      <w:b/>
      <w:sz w:val="20"/>
    </w:rPr>
  </w:style>
  <w:style w:type="paragraph" w:styleId="Ttulo5">
    <w:name w:val="heading 5"/>
    <w:basedOn w:val="Normal"/>
    <w:next w:val="Normal"/>
    <w:link w:val="Ttulo5Car"/>
    <w:uiPriority w:val="9"/>
    <w:semiHidden/>
    <w:unhideWhenUsed/>
    <w:qFormat/>
    <w:rsid w:val="00571B0F"/>
    <w:pPr>
      <w:keepNext/>
      <w:jc w:val="center"/>
      <w:outlineLvl w:val="4"/>
    </w:pPr>
    <w:rPr>
      <w:rFonts w:ascii="GoudyOlSt BT" w:hAnsi="GoudyOlSt BT"/>
      <w:b/>
      <w:sz w:val="24"/>
    </w:rPr>
  </w:style>
  <w:style w:type="paragraph" w:styleId="Ttulo6">
    <w:name w:val="heading 6"/>
    <w:basedOn w:val="Normal"/>
    <w:next w:val="Normal"/>
    <w:link w:val="Ttulo6Car"/>
    <w:uiPriority w:val="9"/>
    <w:semiHidden/>
    <w:unhideWhenUsed/>
    <w:qFormat/>
    <w:rsid w:val="00571B0F"/>
    <w:pPr>
      <w:keepNext/>
      <w:jc w:val="center"/>
      <w:outlineLvl w:val="5"/>
    </w:pPr>
    <w:rPr>
      <w:rFonts w:ascii="Arial" w:hAnsi="Arial"/>
      <w:b/>
      <w:snapToGrid w:val="0"/>
      <w:color w:val="000000"/>
      <w:sz w:val="24"/>
      <w:lang w:val="es-ES"/>
    </w:rPr>
  </w:style>
  <w:style w:type="paragraph" w:styleId="Ttulo7">
    <w:name w:val="heading 7"/>
    <w:basedOn w:val="Normal"/>
    <w:next w:val="Normal"/>
    <w:link w:val="Ttulo7Car"/>
    <w:qFormat/>
    <w:rsid w:val="00571B0F"/>
    <w:pPr>
      <w:keepNext/>
      <w:outlineLvl w:val="6"/>
    </w:pPr>
    <w:rPr>
      <w:rFonts w:ascii="Arial" w:hAnsi="Arial"/>
      <w:b/>
      <w:snapToGrid w:val="0"/>
      <w:color w:val="000000"/>
      <w:sz w:val="24"/>
      <w:lang w:val="es-ES"/>
    </w:rPr>
  </w:style>
  <w:style w:type="paragraph" w:styleId="Ttulo8">
    <w:name w:val="heading 8"/>
    <w:basedOn w:val="Normal"/>
    <w:next w:val="Normal"/>
    <w:link w:val="Ttulo8Car"/>
    <w:uiPriority w:val="99"/>
    <w:qFormat/>
    <w:rsid w:val="00571B0F"/>
    <w:pPr>
      <w:keepNext/>
      <w:jc w:val="center"/>
      <w:outlineLvl w:val="7"/>
    </w:pPr>
    <w:rPr>
      <w:b/>
    </w:rPr>
  </w:style>
  <w:style w:type="paragraph" w:styleId="Ttulo9">
    <w:name w:val="heading 9"/>
    <w:basedOn w:val="Normal"/>
    <w:next w:val="Normal"/>
    <w:link w:val="Ttulo9Car"/>
    <w:qFormat/>
    <w:rsid w:val="00571B0F"/>
    <w:pPr>
      <w:keepNext/>
      <w:autoSpaceDE w:val="0"/>
      <w:autoSpaceDN w:val="0"/>
      <w:adjustRightInd w:val="0"/>
      <w:spacing w:line="287" w:lineRule="auto"/>
      <w:jc w:val="center"/>
      <w:outlineLvl w:val="8"/>
    </w:pPr>
    <w:rPr>
      <w:rFonts w:ascii="Arial" w:hAnsi="Arial" w:cs="Arial"/>
      <w:b/>
      <w:bCs/>
      <w:color w:val="000000"/>
      <w:sz w:val="20"/>
      <w:szCs w:val="1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71B0F"/>
    <w:pPr>
      <w:jc w:val="center"/>
    </w:pPr>
    <w:rPr>
      <w:b/>
      <w:sz w:val="20"/>
      <w:lang w:val="es-ES"/>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link w:val="Ttulo1"/>
    <w:rsid w:val="00571B0F"/>
    <w:rPr>
      <w:rFonts w:ascii="GoudyOlSt BT" w:eastAsia="Times New Roman" w:hAnsi="GoudyOlSt BT" w:cs="Times New Roman"/>
      <w:b/>
      <w:sz w:val="20"/>
      <w:szCs w:val="20"/>
      <w:lang w:val="es-ES_tradnl" w:eastAsia="es-ES"/>
    </w:rPr>
  </w:style>
  <w:style w:type="character" w:customStyle="1" w:styleId="Ttulo2Car">
    <w:name w:val="Título 2 Car"/>
    <w:link w:val="Ttulo2"/>
    <w:rsid w:val="00571B0F"/>
    <w:rPr>
      <w:rFonts w:ascii="GoudyOlSt BT" w:eastAsia="Times New Roman" w:hAnsi="GoudyOlSt BT" w:cs="Times New Roman"/>
      <w:b/>
      <w:sz w:val="18"/>
      <w:szCs w:val="20"/>
      <w:lang w:val="es-ES_tradnl" w:eastAsia="es-ES"/>
    </w:rPr>
  </w:style>
  <w:style w:type="character" w:customStyle="1" w:styleId="Ttulo3Car">
    <w:name w:val="Título 3 Car"/>
    <w:link w:val="Ttulo3"/>
    <w:rsid w:val="00571B0F"/>
    <w:rPr>
      <w:rFonts w:ascii="GoudyOlSt BT" w:eastAsia="Times New Roman" w:hAnsi="GoudyOlSt BT" w:cs="Times New Roman"/>
      <w:b/>
      <w:sz w:val="16"/>
      <w:szCs w:val="20"/>
      <w:lang w:val="es-ES_tradnl" w:eastAsia="es-ES"/>
    </w:rPr>
  </w:style>
  <w:style w:type="character" w:customStyle="1" w:styleId="Ttulo4Car">
    <w:name w:val="Título 4 Car"/>
    <w:link w:val="Ttulo4"/>
    <w:rsid w:val="00571B0F"/>
    <w:rPr>
      <w:rFonts w:ascii="GoudyOlSt BT" w:eastAsia="Times New Roman" w:hAnsi="GoudyOlSt BT" w:cs="Times New Roman"/>
      <w:b/>
      <w:sz w:val="20"/>
      <w:szCs w:val="20"/>
      <w:lang w:val="es-ES_tradnl" w:eastAsia="es-ES"/>
    </w:rPr>
  </w:style>
  <w:style w:type="character" w:customStyle="1" w:styleId="Ttulo5Car">
    <w:name w:val="Título 5 Car"/>
    <w:link w:val="Ttulo5"/>
    <w:rsid w:val="00571B0F"/>
    <w:rPr>
      <w:rFonts w:ascii="GoudyOlSt BT" w:eastAsia="Times New Roman" w:hAnsi="GoudyOlSt BT" w:cs="Times New Roman"/>
      <w:b/>
      <w:sz w:val="24"/>
      <w:szCs w:val="20"/>
      <w:lang w:val="es-ES_tradnl" w:eastAsia="es-ES"/>
    </w:rPr>
  </w:style>
  <w:style w:type="character" w:customStyle="1" w:styleId="Ttulo6Car">
    <w:name w:val="Título 6 Car"/>
    <w:link w:val="Ttulo6"/>
    <w:rsid w:val="00571B0F"/>
    <w:rPr>
      <w:rFonts w:ascii="Arial" w:eastAsia="Times New Roman" w:hAnsi="Arial" w:cs="Times New Roman"/>
      <w:b/>
      <w:snapToGrid w:val="0"/>
      <w:color w:val="000000"/>
      <w:sz w:val="24"/>
      <w:szCs w:val="20"/>
      <w:lang w:val="es-ES" w:eastAsia="es-ES"/>
    </w:rPr>
  </w:style>
  <w:style w:type="character" w:customStyle="1" w:styleId="Ttulo7Car">
    <w:name w:val="Título 7 Car"/>
    <w:link w:val="Ttulo7"/>
    <w:rsid w:val="00571B0F"/>
    <w:rPr>
      <w:rFonts w:ascii="Arial" w:eastAsia="Times New Roman" w:hAnsi="Arial" w:cs="Times New Roman"/>
      <w:b/>
      <w:snapToGrid w:val="0"/>
      <w:color w:val="000000"/>
      <w:sz w:val="24"/>
      <w:szCs w:val="20"/>
      <w:lang w:val="es-ES" w:eastAsia="es-ES"/>
    </w:rPr>
  </w:style>
  <w:style w:type="character" w:customStyle="1" w:styleId="Ttulo8Car">
    <w:name w:val="Título 8 Car"/>
    <w:link w:val="Ttulo8"/>
    <w:uiPriority w:val="99"/>
    <w:rsid w:val="00571B0F"/>
    <w:rPr>
      <w:rFonts w:ascii="Times New Roman" w:eastAsia="Times New Roman" w:hAnsi="Times New Roman" w:cs="Times New Roman"/>
      <w:b/>
      <w:sz w:val="28"/>
      <w:szCs w:val="20"/>
      <w:lang w:val="es-ES_tradnl" w:eastAsia="es-ES"/>
    </w:rPr>
  </w:style>
  <w:style w:type="character" w:customStyle="1" w:styleId="Ttulo9Car">
    <w:name w:val="Título 9 Car"/>
    <w:link w:val="Ttulo9"/>
    <w:rsid w:val="00571B0F"/>
    <w:rPr>
      <w:rFonts w:ascii="Arial" w:eastAsia="Times New Roman" w:hAnsi="Arial" w:cs="Arial"/>
      <w:b/>
      <w:bCs/>
      <w:color w:val="000000"/>
      <w:sz w:val="20"/>
      <w:szCs w:val="18"/>
      <w:lang w:val="en-US" w:eastAsia="es-ES"/>
    </w:rPr>
  </w:style>
  <w:style w:type="character" w:styleId="Nmerodepgina">
    <w:name w:val="page number"/>
    <w:basedOn w:val="Fuentedeprrafopredeter"/>
    <w:rsid w:val="00571B0F"/>
  </w:style>
  <w:style w:type="paragraph" w:styleId="Encabezado">
    <w:name w:val="header"/>
    <w:basedOn w:val="Normal"/>
    <w:link w:val="EncabezadoCar"/>
    <w:uiPriority w:val="99"/>
    <w:rsid w:val="00571B0F"/>
    <w:pPr>
      <w:tabs>
        <w:tab w:val="center" w:pos="4419"/>
        <w:tab w:val="right" w:pos="8838"/>
      </w:tabs>
    </w:pPr>
    <w:rPr>
      <w:sz w:val="20"/>
    </w:rPr>
  </w:style>
  <w:style w:type="character" w:customStyle="1" w:styleId="EncabezadoCar">
    <w:name w:val="Encabezado Car"/>
    <w:link w:val="Encabezado"/>
    <w:uiPriority w:val="99"/>
    <w:rsid w:val="00571B0F"/>
    <w:rPr>
      <w:rFonts w:ascii="Times New Roman" w:eastAsia="Times New Roman" w:hAnsi="Times New Roman" w:cs="Times New Roman"/>
      <w:sz w:val="20"/>
      <w:szCs w:val="20"/>
      <w:lang w:val="es-ES_tradnl" w:eastAsia="es-ES"/>
    </w:rPr>
  </w:style>
  <w:style w:type="paragraph" w:styleId="Piedepgina">
    <w:name w:val="footer"/>
    <w:basedOn w:val="Normal"/>
    <w:link w:val="PiedepginaCar"/>
    <w:semiHidden/>
    <w:rsid w:val="00571B0F"/>
    <w:pPr>
      <w:tabs>
        <w:tab w:val="center" w:pos="4419"/>
        <w:tab w:val="right" w:pos="8838"/>
      </w:tabs>
    </w:pPr>
  </w:style>
  <w:style w:type="character" w:customStyle="1" w:styleId="PiedepginaCar">
    <w:name w:val="Pie de página Car"/>
    <w:link w:val="Piedepgina"/>
    <w:semiHidden/>
    <w:rsid w:val="00571B0F"/>
    <w:rPr>
      <w:rFonts w:ascii="Times New Roman" w:eastAsia="Times New Roman" w:hAnsi="Times New Roman" w:cs="Times New Roman"/>
      <w:sz w:val="28"/>
      <w:szCs w:val="20"/>
      <w:lang w:val="es-ES_tradnl" w:eastAsia="es-ES"/>
    </w:rPr>
  </w:style>
  <w:style w:type="paragraph" w:styleId="Descripcin">
    <w:name w:val="caption"/>
    <w:basedOn w:val="Normal"/>
    <w:next w:val="Normal"/>
    <w:qFormat/>
    <w:rsid w:val="00571B0F"/>
    <w:pPr>
      <w:spacing w:before="120" w:after="120"/>
    </w:pPr>
    <w:rPr>
      <w:rFonts w:ascii="Arial" w:hAnsi="Arial"/>
      <w:bCs/>
      <w:sz w:val="20"/>
      <w:lang w:val="es-MX" w:eastAsia="es-MX"/>
    </w:rPr>
  </w:style>
  <w:style w:type="character" w:customStyle="1" w:styleId="TtuloCar">
    <w:name w:val="Título Car"/>
    <w:link w:val="Ttulo"/>
    <w:uiPriority w:val="10"/>
    <w:rsid w:val="00571B0F"/>
    <w:rPr>
      <w:rFonts w:ascii="Times New Roman" w:eastAsia="Times New Roman" w:hAnsi="Times New Roman" w:cs="Times New Roman"/>
      <w:b/>
      <w:sz w:val="20"/>
      <w:szCs w:val="20"/>
      <w:lang w:val="es-ES" w:eastAsia="es-ES"/>
    </w:rPr>
  </w:style>
  <w:style w:type="paragraph" w:customStyle="1" w:styleId="par">
    <w:name w:val="par"/>
    <w:basedOn w:val="Normal"/>
    <w:next w:val="Normal"/>
    <w:rsid w:val="00571B0F"/>
    <w:pPr>
      <w:spacing w:before="240"/>
      <w:ind w:left="720" w:right="288"/>
      <w:jc w:val="both"/>
      <w:outlineLvl w:val="0"/>
    </w:pPr>
    <w:rPr>
      <w:rFonts w:ascii="Arial" w:hAnsi="Arial"/>
      <w:sz w:val="20"/>
      <w:lang w:val="es-MX"/>
    </w:rPr>
  </w:style>
  <w:style w:type="paragraph" w:customStyle="1" w:styleId="StyleTitleArialLeftBefore6ptAfter6pt">
    <w:name w:val="Style Title + Arial Left Before:  6 pt After:  6 pt"/>
    <w:basedOn w:val="Ttulo"/>
    <w:rsid w:val="00571B0F"/>
    <w:pPr>
      <w:spacing w:before="120" w:after="120"/>
      <w:jc w:val="left"/>
    </w:pPr>
    <w:rPr>
      <w:rFonts w:ascii="Arial" w:hAnsi="Arial"/>
      <w:b w:val="0"/>
      <w:bCs/>
    </w:rPr>
  </w:style>
  <w:style w:type="paragraph" w:customStyle="1" w:styleId="StyleTitleArialLeftBefore6ptAfter6pt1">
    <w:name w:val="Style Title + Arial Left Before:  6 pt After:  6 pt1"/>
    <w:basedOn w:val="Ttulo"/>
    <w:rsid w:val="00571B0F"/>
    <w:pPr>
      <w:spacing w:before="120" w:after="120"/>
      <w:jc w:val="left"/>
    </w:pPr>
    <w:rPr>
      <w:rFonts w:ascii="Arial" w:hAnsi="Arial"/>
      <w:b w:val="0"/>
      <w:bCs/>
    </w:rPr>
  </w:style>
  <w:style w:type="paragraph" w:customStyle="1" w:styleId="StyleJustifiedLeft125cm">
    <w:name w:val="Style Justified Left:  1.25 cm"/>
    <w:basedOn w:val="Normal"/>
    <w:rsid w:val="00571B0F"/>
    <w:pPr>
      <w:ind w:left="708"/>
      <w:jc w:val="both"/>
    </w:pPr>
    <w:rPr>
      <w:rFonts w:ascii="Arial" w:hAnsi="Arial"/>
      <w:bCs/>
      <w:sz w:val="20"/>
      <w:lang w:val="es-MX" w:eastAsia="es-MX"/>
    </w:rPr>
  </w:style>
  <w:style w:type="paragraph" w:customStyle="1" w:styleId="Politica">
    <w:name w:val="Politica"/>
    <w:basedOn w:val="Encabezado"/>
    <w:rsid w:val="00571B0F"/>
    <w:pPr>
      <w:tabs>
        <w:tab w:val="clear" w:pos="4419"/>
        <w:tab w:val="clear" w:pos="8838"/>
      </w:tabs>
      <w:spacing w:before="600" w:after="600"/>
      <w:jc w:val="center"/>
    </w:pPr>
    <w:rPr>
      <w:b/>
      <w:bCs/>
      <w:sz w:val="24"/>
      <w:szCs w:val="24"/>
      <w:lang w:val="es-ES"/>
    </w:rPr>
  </w:style>
  <w:style w:type="paragraph" w:styleId="Textodebloque">
    <w:name w:val="Block Text"/>
    <w:basedOn w:val="Normal"/>
    <w:semiHidden/>
    <w:rsid w:val="00571B0F"/>
    <w:pPr>
      <w:spacing w:line="480" w:lineRule="auto"/>
      <w:ind w:left="-142" w:right="-1"/>
    </w:pPr>
    <w:rPr>
      <w:sz w:val="24"/>
      <w:lang w:val="es-MX"/>
    </w:rPr>
  </w:style>
  <w:style w:type="paragraph" w:customStyle="1" w:styleId="Titulo1">
    <w:name w:val="Titulo 1"/>
    <w:basedOn w:val="Textodebloque"/>
    <w:rsid w:val="00571B0F"/>
    <w:pPr>
      <w:tabs>
        <w:tab w:val="center" w:pos="284"/>
      </w:tabs>
      <w:spacing w:line="240" w:lineRule="auto"/>
      <w:ind w:left="0" w:right="0" w:firstLine="1"/>
      <w:jc w:val="center"/>
    </w:pPr>
    <w:rPr>
      <w:rFonts w:ascii="Bodoni" w:hAnsi="Bodoni"/>
      <w:i/>
      <w:sz w:val="28"/>
    </w:rPr>
  </w:style>
  <w:style w:type="paragraph" w:styleId="Prrafodelista">
    <w:name w:val="List Paragraph"/>
    <w:basedOn w:val="Normal"/>
    <w:uiPriority w:val="99"/>
    <w:qFormat/>
    <w:rsid w:val="00571B0F"/>
    <w:pPr>
      <w:ind w:left="720"/>
    </w:pPr>
    <w:rPr>
      <w:sz w:val="24"/>
      <w:szCs w:val="24"/>
      <w:lang w:val="es-MX"/>
    </w:rPr>
  </w:style>
  <w:style w:type="paragraph" w:styleId="Textoindependiente">
    <w:name w:val="Body Text"/>
    <w:basedOn w:val="Normal"/>
    <w:link w:val="TextoindependienteCar"/>
    <w:semiHidden/>
    <w:rsid w:val="00571B0F"/>
    <w:pPr>
      <w:jc w:val="both"/>
    </w:pPr>
    <w:rPr>
      <w:rFonts w:ascii="Verdana" w:hAnsi="Verdana"/>
      <w:sz w:val="24"/>
      <w:szCs w:val="24"/>
      <w:lang w:val="es-ES"/>
    </w:rPr>
  </w:style>
  <w:style w:type="character" w:customStyle="1" w:styleId="TextoindependienteCar">
    <w:name w:val="Texto independiente Car"/>
    <w:link w:val="Textoindependiente"/>
    <w:semiHidden/>
    <w:rsid w:val="00571B0F"/>
    <w:rPr>
      <w:rFonts w:ascii="Verdana" w:eastAsia="Times New Roman" w:hAnsi="Verdana" w:cs="Times New Roman"/>
      <w:sz w:val="24"/>
      <w:szCs w:val="24"/>
      <w:lang w:val="es-ES" w:eastAsia="es-ES"/>
    </w:rPr>
  </w:style>
  <w:style w:type="paragraph" w:styleId="Sangradetextonormal">
    <w:name w:val="Body Text Indent"/>
    <w:basedOn w:val="Normal"/>
    <w:link w:val="SangradetextonormalCar"/>
    <w:semiHidden/>
    <w:rsid w:val="00571B0F"/>
    <w:pPr>
      <w:ind w:firstLine="360"/>
      <w:jc w:val="both"/>
    </w:pPr>
    <w:rPr>
      <w:rFonts w:ascii="Tahoma" w:hAnsi="Tahoma" w:cs="Tahoma"/>
      <w:sz w:val="20"/>
    </w:rPr>
  </w:style>
  <w:style w:type="character" w:customStyle="1" w:styleId="SangradetextonormalCar">
    <w:name w:val="Sangría de texto normal Car"/>
    <w:link w:val="Sangradetextonormal"/>
    <w:semiHidden/>
    <w:rsid w:val="00571B0F"/>
    <w:rPr>
      <w:rFonts w:ascii="Tahoma" w:eastAsia="Times New Roman" w:hAnsi="Tahoma" w:cs="Tahoma"/>
      <w:sz w:val="20"/>
      <w:szCs w:val="20"/>
      <w:lang w:val="es-ES_tradnl" w:eastAsia="es-ES"/>
    </w:rPr>
  </w:style>
  <w:style w:type="paragraph" w:styleId="Sangra2detindependiente">
    <w:name w:val="Body Text Indent 2"/>
    <w:basedOn w:val="Normal"/>
    <w:link w:val="Sangra2detindependienteCar"/>
    <w:semiHidden/>
    <w:rsid w:val="00571B0F"/>
    <w:pPr>
      <w:ind w:firstLine="360"/>
    </w:pPr>
    <w:rPr>
      <w:rFonts w:ascii="Tahoma" w:hAnsi="Tahoma" w:cs="Tahoma"/>
      <w:sz w:val="20"/>
    </w:rPr>
  </w:style>
  <w:style w:type="character" w:customStyle="1" w:styleId="Sangra2detindependienteCar">
    <w:name w:val="Sangría 2 de t. independiente Car"/>
    <w:link w:val="Sangra2detindependiente"/>
    <w:semiHidden/>
    <w:rsid w:val="00571B0F"/>
    <w:rPr>
      <w:rFonts w:ascii="Tahoma" w:eastAsia="Times New Roman" w:hAnsi="Tahoma" w:cs="Tahoma"/>
      <w:sz w:val="20"/>
      <w:szCs w:val="20"/>
      <w:lang w:val="es-ES_tradnl" w:eastAsia="es-ES"/>
    </w:rPr>
  </w:style>
  <w:style w:type="paragraph" w:styleId="Sangra3detindependiente">
    <w:name w:val="Body Text Indent 3"/>
    <w:basedOn w:val="Normal"/>
    <w:link w:val="Sangra3detindependienteCar"/>
    <w:semiHidden/>
    <w:rsid w:val="00571B0F"/>
    <w:pPr>
      <w:ind w:firstLine="708"/>
      <w:jc w:val="both"/>
    </w:pPr>
    <w:rPr>
      <w:rFonts w:ascii="Tahoma" w:hAnsi="Tahoma"/>
      <w:sz w:val="20"/>
    </w:rPr>
  </w:style>
  <w:style w:type="character" w:customStyle="1" w:styleId="Sangra3detindependienteCar">
    <w:name w:val="Sangría 3 de t. independiente Car"/>
    <w:link w:val="Sangra3detindependiente"/>
    <w:semiHidden/>
    <w:rsid w:val="00571B0F"/>
    <w:rPr>
      <w:rFonts w:ascii="Tahoma" w:eastAsia="Times New Roman" w:hAnsi="Tahoma" w:cs="Times New Roman"/>
      <w:sz w:val="20"/>
      <w:szCs w:val="20"/>
      <w:lang w:val="es-ES_tradnl" w:eastAsia="es-ES"/>
    </w:rPr>
  </w:style>
  <w:style w:type="paragraph" w:styleId="Textoindependiente2">
    <w:name w:val="Body Text 2"/>
    <w:basedOn w:val="Normal"/>
    <w:link w:val="Textoindependiente2Car"/>
    <w:semiHidden/>
    <w:rsid w:val="00571B0F"/>
    <w:pPr>
      <w:jc w:val="right"/>
    </w:pPr>
    <w:rPr>
      <w:rFonts w:ascii="Tahoma" w:hAnsi="Tahoma" w:cs="Tahoma"/>
      <w:b/>
      <w:bCs/>
      <w:sz w:val="20"/>
    </w:rPr>
  </w:style>
  <w:style w:type="character" w:customStyle="1" w:styleId="Textoindependiente2Car">
    <w:name w:val="Texto independiente 2 Car"/>
    <w:link w:val="Textoindependiente2"/>
    <w:semiHidden/>
    <w:rsid w:val="00571B0F"/>
    <w:rPr>
      <w:rFonts w:ascii="Tahoma" w:eastAsia="Times New Roman" w:hAnsi="Tahoma" w:cs="Tahoma"/>
      <w:b/>
      <w:bCs/>
      <w:sz w:val="20"/>
      <w:szCs w:val="20"/>
      <w:lang w:val="es-ES_tradnl" w:eastAsia="es-ES"/>
    </w:rPr>
  </w:style>
  <w:style w:type="paragraph" w:styleId="Textoindependiente3">
    <w:name w:val="Body Text 3"/>
    <w:basedOn w:val="Normal"/>
    <w:link w:val="Textoindependiente3Car"/>
    <w:semiHidden/>
    <w:rsid w:val="00571B0F"/>
    <w:pPr>
      <w:jc w:val="both"/>
    </w:pPr>
    <w:rPr>
      <w:rFonts w:ascii="Tahoma" w:hAnsi="Tahoma" w:cs="Tahoma"/>
      <w:sz w:val="20"/>
    </w:rPr>
  </w:style>
  <w:style w:type="character" w:customStyle="1" w:styleId="Textoindependiente3Car">
    <w:name w:val="Texto independiente 3 Car"/>
    <w:link w:val="Textoindependiente3"/>
    <w:semiHidden/>
    <w:rsid w:val="00571B0F"/>
    <w:rPr>
      <w:rFonts w:ascii="Tahoma" w:eastAsia="Times New Roman" w:hAnsi="Tahoma" w:cs="Tahoma"/>
      <w:sz w:val="20"/>
      <w:szCs w:val="20"/>
      <w:lang w:val="es-ES_tradnl" w:eastAsia="es-ES"/>
    </w:rPr>
  </w:style>
  <w:style w:type="table" w:styleId="Tablaconcuadrcula">
    <w:name w:val="Table Grid"/>
    <w:basedOn w:val="Tablanormal"/>
    <w:uiPriority w:val="59"/>
    <w:rsid w:val="00571B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571B0F"/>
    <w:pPr>
      <w:spacing w:before="100" w:beforeAutospacing="1" w:after="100" w:afterAutospacing="1"/>
    </w:pPr>
    <w:rPr>
      <w:sz w:val="24"/>
      <w:szCs w:val="24"/>
      <w:lang w:val="es-MX" w:eastAsia="es-MX"/>
    </w:rPr>
  </w:style>
  <w:style w:type="paragraph" w:customStyle="1" w:styleId="num-pol">
    <w:name w:val="num-pol"/>
    <w:basedOn w:val="Normal"/>
    <w:rsid w:val="00571B0F"/>
    <w:pPr>
      <w:keepNext/>
      <w:keepLines/>
      <w:spacing w:before="360"/>
      <w:ind w:left="720" w:hanging="720"/>
      <w:jc w:val="both"/>
    </w:pPr>
    <w:rPr>
      <w:rFonts w:ascii="Arial" w:hAnsi="Arial"/>
      <w:sz w:val="24"/>
      <w:lang w:val="es-MX"/>
    </w:rPr>
  </w:style>
  <w:style w:type="character" w:styleId="nfasis">
    <w:name w:val="Emphasis"/>
    <w:uiPriority w:val="99"/>
    <w:qFormat/>
    <w:rsid w:val="00571B0F"/>
    <w:rPr>
      <w:b/>
      <w:bCs/>
      <w:i w:val="0"/>
      <w:iCs w:val="0"/>
    </w:rPr>
  </w:style>
  <w:style w:type="paragraph" w:customStyle="1" w:styleId="Estilo1">
    <w:name w:val="Estilo1"/>
    <w:basedOn w:val="Normal"/>
    <w:next w:val="Normal"/>
    <w:rsid w:val="00571B0F"/>
    <w:pPr>
      <w:numPr>
        <w:numId w:val="1"/>
      </w:numPr>
      <w:spacing w:before="240" w:after="60"/>
    </w:pPr>
    <w:rPr>
      <w:rFonts w:ascii="Arial" w:hAnsi="Arial" w:cs="Arial"/>
      <w:b/>
      <w:bCs/>
      <w:sz w:val="24"/>
      <w:szCs w:val="24"/>
      <w:lang w:val="es-ES"/>
    </w:rPr>
  </w:style>
  <w:style w:type="paragraph" w:customStyle="1" w:styleId="Estilo2">
    <w:name w:val="Estilo2"/>
    <w:basedOn w:val="Normal"/>
    <w:next w:val="Normal"/>
    <w:rsid w:val="00571B0F"/>
    <w:pPr>
      <w:numPr>
        <w:ilvl w:val="1"/>
        <w:numId w:val="1"/>
      </w:numPr>
      <w:spacing w:before="240" w:after="60"/>
    </w:pPr>
    <w:rPr>
      <w:rFonts w:ascii="Arial" w:hAnsi="Arial" w:cs="Arial"/>
      <w:b/>
      <w:bCs/>
      <w:sz w:val="24"/>
      <w:szCs w:val="24"/>
      <w:lang w:val="es-ES"/>
    </w:rPr>
  </w:style>
  <w:style w:type="paragraph" w:customStyle="1" w:styleId="Estilo3">
    <w:name w:val="Estilo3"/>
    <w:basedOn w:val="Normal"/>
    <w:next w:val="Normal"/>
    <w:rsid w:val="00571B0F"/>
    <w:pPr>
      <w:numPr>
        <w:ilvl w:val="2"/>
        <w:numId w:val="1"/>
      </w:numPr>
      <w:spacing w:before="240" w:after="60"/>
    </w:pPr>
    <w:rPr>
      <w:rFonts w:ascii="Arial" w:hAnsi="Arial" w:cs="Arial"/>
      <w:b/>
      <w:bCs/>
      <w:sz w:val="24"/>
      <w:szCs w:val="24"/>
      <w:lang w:val="es-ES"/>
    </w:rPr>
  </w:style>
  <w:style w:type="paragraph" w:styleId="Textodeglobo">
    <w:name w:val="Balloon Text"/>
    <w:basedOn w:val="Normal"/>
    <w:link w:val="TextodegloboCar"/>
    <w:uiPriority w:val="99"/>
    <w:semiHidden/>
    <w:unhideWhenUsed/>
    <w:rsid w:val="00571B0F"/>
    <w:rPr>
      <w:rFonts w:ascii="Tahoma" w:hAnsi="Tahoma"/>
      <w:sz w:val="16"/>
      <w:szCs w:val="16"/>
    </w:rPr>
  </w:style>
  <w:style w:type="character" w:customStyle="1" w:styleId="TextodegloboCar">
    <w:name w:val="Texto de globo Car"/>
    <w:link w:val="Textodeglobo"/>
    <w:uiPriority w:val="99"/>
    <w:semiHidden/>
    <w:rsid w:val="00571B0F"/>
    <w:rPr>
      <w:rFonts w:ascii="Tahoma" w:eastAsia="Times New Roman" w:hAnsi="Tahoma" w:cs="Times New Roman"/>
      <w:sz w:val="16"/>
      <w:szCs w:val="16"/>
      <w:lang w:val="es-ES_tradnl" w:eastAsia="es-ES"/>
    </w:rPr>
  </w:style>
  <w:style w:type="paragraph" w:customStyle="1" w:styleId="ListParagraph1">
    <w:name w:val="List Paragraph1"/>
    <w:basedOn w:val="Normal"/>
    <w:rsid w:val="00571B0F"/>
    <w:pPr>
      <w:spacing w:after="200" w:line="276" w:lineRule="auto"/>
      <w:ind w:left="720"/>
      <w:contextualSpacing/>
    </w:pPr>
    <w:rPr>
      <w:rFonts w:ascii="Calibri" w:hAnsi="Calibri"/>
      <w:sz w:val="22"/>
      <w:szCs w:val="22"/>
      <w:lang w:val="es-ES"/>
    </w:rPr>
  </w:style>
  <w:style w:type="paragraph" w:customStyle="1" w:styleId="texto">
    <w:name w:val="texto"/>
    <w:basedOn w:val="Normal"/>
    <w:rsid w:val="00571B0F"/>
    <w:pPr>
      <w:spacing w:after="101" w:line="216" w:lineRule="atLeast"/>
    </w:pPr>
    <w:rPr>
      <w:rFonts w:ascii="Arial" w:hAnsi="Arial"/>
      <w:sz w:val="18"/>
    </w:rPr>
  </w:style>
  <w:style w:type="paragraph" w:customStyle="1" w:styleId="Default">
    <w:name w:val="Default"/>
    <w:rsid w:val="00571B0F"/>
    <w:pPr>
      <w:autoSpaceDE w:val="0"/>
      <w:autoSpaceDN w:val="0"/>
      <w:adjustRightInd w:val="0"/>
    </w:pPr>
    <w:rPr>
      <w:rFonts w:ascii="Arial" w:hAnsi="Arial" w:cs="Arial"/>
      <w:color w:val="000000"/>
      <w:sz w:val="24"/>
      <w:szCs w:val="24"/>
    </w:rPr>
  </w:style>
  <w:style w:type="paragraph" w:customStyle="1" w:styleId="Prrafo3">
    <w:name w:val="Párrafo3"/>
    <w:basedOn w:val="Normal"/>
    <w:next w:val="Normal"/>
    <w:uiPriority w:val="99"/>
    <w:rsid w:val="00571B0F"/>
    <w:pPr>
      <w:spacing w:after="200"/>
      <w:ind w:left="1701"/>
      <w:jc w:val="both"/>
    </w:pPr>
    <w:rPr>
      <w:rFonts w:ascii="Univers" w:hAnsi="Univers"/>
      <w:kern w:val="28"/>
      <w:sz w:val="20"/>
      <w:szCs w:val="24"/>
      <w:lang w:eastAsia="en-US"/>
    </w:rPr>
  </w:style>
  <w:style w:type="paragraph" w:styleId="Textosinformato">
    <w:name w:val="Plain Text"/>
    <w:basedOn w:val="Normal"/>
    <w:link w:val="TextosinformatoCar"/>
    <w:uiPriority w:val="99"/>
    <w:unhideWhenUsed/>
    <w:rsid w:val="00571B0F"/>
    <w:rPr>
      <w:rFonts w:ascii="Consolas" w:eastAsia="Calibri" w:hAnsi="Consolas"/>
      <w:sz w:val="21"/>
      <w:szCs w:val="21"/>
      <w:lang w:val="es-ES" w:eastAsia="en-US"/>
    </w:rPr>
  </w:style>
  <w:style w:type="character" w:customStyle="1" w:styleId="TextosinformatoCar">
    <w:name w:val="Texto sin formato Car"/>
    <w:link w:val="Textosinformato"/>
    <w:uiPriority w:val="99"/>
    <w:rsid w:val="00571B0F"/>
    <w:rPr>
      <w:rFonts w:ascii="Consolas" w:eastAsia="Calibri" w:hAnsi="Consolas" w:cs="Times New Roman"/>
      <w:sz w:val="21"/>
      <w:szCs w:val="21"/>
      <w:lang w:val="es-ES"/>
    </w:rPr>
  </w:style>
  <w:style w:type="paragraph" w:styleId="Sinespaciado">
    <w:name w:val="No Spacing"/>
    <w:aliases w:val="PIPC"/>
    <w:link w:val="SinespaciadoCar"/>
    <w:uiPriority w:val="1"/>
    <w:qFormat/>
    <w:rsid w:val="000349AA"/>
    <w:rPr>
      <w:rFonts w:asciiTheme="minorHAnsi" w:eastAsiaTheme="minorEastAsia" w:hAnsiTheme="minorHAnsi" w:cstheme="minorBidi"/>
      <w:b/>
      <w:color w:val="4F81BD" w:themeColor="accent1"/>
      <w:sz w:val="32"/>
      <w:szCs w:val="22"/>
    </w:rPr>
  </w:style>
  <w:style w:type="character" w:customStyle="1" w:styleId="SinespaciadoCar">
    <w:name w:val="Sin espaciado Car"/>
    <w:aliases w:val="PIPC Car"/>
    <w:basedOn w:val="Fuentedeprrafopredeter"/>
    <w:link w:val="Sinespaciado"/>
    <w:uiPriority w:val="1"/>
    <w:rsid w:val="000349AA"/>
    <w:rPr>
      <w:rFonts w:asciiTheme="minorHAnsi" w:eastAsiaTheme="minorEastAsia" w:hAnsiTheme="minorHAnsi" w:cstheme="minorBidi"/>
      <w:b/>
      <w:color w:val="4F81BD" w:themeColor="accent1"/>
      <w:sz w:val="32"/>
      <w:szCs w:val="22"/>
    </w:rPr>
  </w:style>
  <w:style w:type="paragraph" w:styleId="Subttulo">
    <w:name w:val="Subtitle"/>
    <w:basedOn w:val="Normal"/>
    <w:next w:val="Normal"/>
    <w:link w:val="SubttuloCar"/>
    <w:uiPriority w:val="11"/>
    <w:qFormat/>
    <w:pPr>
      <w:spacing w:after="200" w:line="276"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BD2877"/>
    <w:rPr>
      <w:rFonts w:asciiTheme="majorHAnsi" w:eastAsiaTheme="majorEastAsia" w:hAnsiTheme="majorHAnsi" w:cstheme="majorBidi"/>
      <w:i/>
      <w:iCs/>
      <w:color w:val="4F81BD" w:themeColor="accent1"/>
      <w:spacing w:val="15"/>
      <w:sz w:val="24"/>
      <w:szCs w:val="24"/>
    </w:rPr>
  </w:style>
  <w:style w:type="paragraph" w:styleId="ndice1">
    <w:name w:val="index 1"/>
    <w:basedOn w:val="Normal"/>
    <w:next w:val="Normal"/>
    <w:autoRedefine/>
    <w:uiPriority w:val="99"/>
    <w:unhideWhenUsed/>
    <w:rsid w:val="00EC2832"/>
    <w:pPr>
      <w:spacing w:before="120" w:after="120"/>
      <w:ind w:left="280" w:hanging="280"/>
    </w:pPr>
    <w:rPr>
      <w:rFonts w:ascii="Arial" w:hAnsi="Arial" w:cstheme="minorHAnsi"/>
      <w:sz w:val="20"/>
    </w:rPr>
  </w:style>
  <w:style w:type="paragraph" w:styleId="ndice2">
    <w:name w:val="index 2"/>
    <w:basedOn w:val="Normal"/>
    <w:next w:val="Normal"/>
    <w:autoRedefine/>
    <w:uiPriority w:val="99"/>
    <w:unhideWhenUsed/>
    <w:rsid w:val="00505F95"/>
    <w:pPr>
      <w:ind w:left="560" w:hanging="280"/>
    </w:pPr>
    <w:rPr>
      <w:rFonts w:asciiTheme="minorHAnsi" w:hAnsiTheme="minorHAnsi" w:cstheme="minorHAnsi"/>
      <w:sz w:val="20"/>
    </w:rPr>
  </w:style>
  <w:style w:type="paragraph" w:styleId="ndice3">
    <w:name w:val="index 3"/>
    <w:basedOn w:val="Normal"/>
    <w:next w:val="Normal"/>
    <w:autoRedefine/>
    <w:uiPriority w:val="99"/>
    <w:unhideWhenUsed/>
    <w:rsid w:val="00505F95"/>
    <w:pPr>
      <w:ind w:left="840" w:hanging="280"/>
    </w:pPr>
    <w:rPr>
      <w:rFonts w:asciiTheme="minorHAnsi" w:hAnsiTheme="minorHAnsi" w:cstheme="minorHAnsi"/>
      <w:sz w:val="20"/>
    </w:rPr>
  </w:style>
  <w:style w:type="paragraph" w:styleId="ndice4">
    <w:name w:val="index 4"/>
    <w:basedOn w:val="Normal"/>
    <w:next w:val="Normal"/>
    <w:autoRedefine/>
    <w:uiPriority w:val="99"/>
    <w:unhideWhenUsed/>
    <w:rsid w:val="00505F95"/>
    <w:pPr>
      <w:ind w:left="1120" w:hanging="280"/>
    </w:pPr>
    <w:rPr>
      <w:rFonts w:asciiTheme="minorHAnsi" w:hAnsiTheme="minorHAnsi" w:cstheme="minorHAnsi"/>
      <w:sz w:val="20"/>
    </w:rPr>
  </w:style>
  <w:style w:type="paragraph" w:styleId="ndice5">
    <w:name w:val="index 5"/>
    <w:basedOn w:val="Normal"/>
    <w:next w:val="Normal"/>
    <w:autoRedefine/>
    <w:uiPriority w:val="99"/>
    <w:unhideWhenUsed/>
    <w:rsid w:val="00505F95"/>
    <w:pPr>
      <w:ind w:left="1400" w:hanging="280"/>
    </w:pPr>
    <w:rPr>
      <w:rFonts w:asciiTheme="minorHAnsi" w:hAnsiTheme="minorHAnsi" w:cstheme="minorHAnsi"/>
      <w:sz w:val="20"/>
    </w:rPr>
  </w:style>
  <w:style w:type="paragraph" w:styleId="ndice6">
    <w:name w:val="index 6"/>
    <w:basedOn w:val="Normal"/>
    <w:next w:val="Normal"/>
    <w:autoRedefine/>
    <w:uiPriority w:val="99"/>
    <w:unhideWhenUsed/>
    <w:rsid w:val="00505F95"/>
    <w:pPr>
      <w:ind w:left="1680" w:hanging="280"/>
    </w:pPr>
    <w:rPr>
      <w:rFonts w:asciiTheme="minorHAnsi" w:hAnsiTheme="minorHAnsi" w:cstheme="minorHAnsi"/>
      <w:sz w:val="20"/>
    </w:rPr>
  </w:style>
  <w:style w:type="paragraph" w:styleId="ndice7">
    <w:name w:val="index 7"/>
    <w:basedOn w:val="Normal"/>
    <w:next w:val="Normal"/>
    <w:autoRedefine/>
    <w:uiPriority w:val="99"/>
    <w:unhideWhenUsed/>
    <w:rsid w:val="00505F95"/>
    <w:pPr>
      <w:ind w:left="1960" w:hanging="280"/>
    </w:pPr>
    <w:rPr>
      <w:rFonts w:asciiTheme="minorHAnsi" w:hAnsiTheme="minorHAnsi" w:cstheme="minorHAnsi"/>
      <w:sz w:val="20"/>
    </w:rPr>
  </w:style>
  <w:style w:type="paragraph" w:styleId="ndice8">
    <w:name w:val="index 8"/>
    <w:basedOn w:val="Normal"/>
    <w:next w:val="Normal"/>
    <w:autoRedefine/>
    <w:uiPriority w:val="99"/>
    <w:unhideWhenUsed/>
    <w:rsid w:val="00505F95"/>
    <w:pPr>
      <w:ind w:left="2240" w:hanging="280"/>
    </w:pPr>
    <w:rPr>
      <w:rFonts w:asciiTheme="minorHAnsi" w:hAnsiTheme="minorHAnsi" w:cstheme="minorHAnsi"/>
      <w:sz w:val="20"/>
    </w:rPr>
  </w:style>
  <w:style w:type="paragraph" w:styleId="ndice9">
    <w:name w:val="index 9"/>
    <w:basedOn w:val="Normal"/>
    <w:next w:val="Normal"/>
    <w:autoRedefine/>
    <w:uiPriority w:val="99"/>
    <w:unhideWhenUsed/>
    <w:rsid w:val="00505F95"/>
    <w:pPr>
      <w:ind w:left="2520" w:hanging="280"/>
    </w:pPr>
    <w:rPr>
      <w:rFonts w:asciiTheme="minorHAnsi" w:hAnsiTheme="minorHAnsi" w:cstheme="minorHAnsi"/>
      <w:sz w:val="20"/>
    </w:rPr>
  </w:style>
  <w:style w:type="paragraph" w:styleId="Ttulodendice">
    <w:name w:val="index heading"/>
    <w:basedOn w:val="Normal"/>
    <w:next w:val="ndice1"/>
    <w:uiPriority w:val="99"/>
    <w:unhideWhenUsed/>
    <w:rsid w:val="00505F95"/>
    <w:rPr>
      <w:rFonts w:asciiTheme="minorHAnsi" w:hAnsiTheme="minorHAnsi" w:cstheme="minorHAnsi"/>
      <w:sz w:val="20"/>
    </w:rPr>
  </w:style>
  <w:style w:type="paragraph" w:styleId="TtuloTDC">
    <w:name w:val="TOC Heading"/>
    <w:basedOn w:val="Ttulo1"/>
    <w:next w:val="Normal"/>
    <w:uiPriority w:val="39"/>
    <w:unhideWhenUsed/>
    <w:qFormat/>
    <w:rsid w:val="00782EB8"/>
    <w:pPr>
      <w:keepLines/>
      <w:spacing w:before="480" w:line="276" w:lineRule="auto"/>
      <w:ind w:left="0"/>
      <w:jc w:val="left"/>
      <w:outlineLvl w:val="9"/>
    </w:pPr>
    <w:rPr>
      <w:rFonts w:asciiTheme="majorHAnsi" w:eastAsiaTheme="majorEastAsia" w:hAnsiTheme="majorHAnsi" w:cstheme="majorBidi"/>
      <w:bCs/>
      <w:color w:val="365F91" w:themeColor="accent1" w:themeShade="BF"/>
      <w:sz w:val="28"/>
      <w:lang w:val="es-MX" w:eastAsia="es-MX"/>
    </w:rPr>
  </w:style>
  <w:style w:type="paragraph" w:styleId="TDC2">
    <w:name w:val="toc 2"/>
    <w:basedOn w:val="Normal"/>
    <w:next w:val="Normal"/>
    <w:autoRedefine/>
    <w:uiPriority w:val="39"/>
    <w:unhideWhenUsed/>
    <w:qFormat/>
    <w:rsid w:val="00782EB8"/>
    <w:pPr>
      <w:spacing w:after="100"/>
      <w:ind w:left="280"/>
    </w:pPr>
  </w:style>
  <w:style w:type="paragraph" w:styleId="TDC1">
    <w:name w:val="toc 1"/>
    <w:basedOn w:val="Normal"/>
    <w:next w:val="Normal"/>
    <w:autoRedefine/>
    <w:uiPriority w:val="39"/>
    <w:unhideWhenUsed/>
    <w:qFormat/>
    <w:rsid w:val="00782EB8"/>
    <w:pPr>
      <w:spacing w:after="100"/>
    </w:pPr>
  </w:style>
  <w:style w:type="character" w:styleId="Hipervnculo">
    <w:name w:val="Hyperlink"/>
    <w:basedOn w:val="Fuentedeprrafopredeter"/>
    <w:uiPriority w:val="99"/>
    <w:unhideWhenUsed/>
    <w:rsid w:val="00782EB8"/>
    <w:rPr>
      <w:color w:val="0000FF" w:themeColor="hyperlink"/>
      <w:u w:val="single"/>
    </w:rPr>
  </w:style>
  <w:style w:type="paragraph" w:styleId="TDC3">
    <w:name w:val="toc 3"/>
    <w:basedOn w:val="Normal"/>
    <w:next w:val="Normal"/>
    <w:autoRedefine/>
    <w:uiPriority w:val="39"/>
    <w:unhideWhenUsed/>
    <w:qFormat/>
    <w:rsid w:val="00BC16CE"/>
    <w:pPr>
      <w:spacing w:after="100" w:line="276" w:lineRule="auto"/>
      <w:ind w:left="440"/>
    </w:pPr>
    <w:rPr>
      <w:rFonts w:asciiTheme="minorHAnsi" w:eastAsiaTheme="minorEastAsia" w:hAnsiTheme="minorHAnsi" w:cstheme="minorBidi"/>
      <w:sz w:val="22"/>
      <w:szCs w:val="22"/>
      <w:lang w:val="es-MX" w:eastAsia="es-MX"/>
    </w:rPr>
  </w:style>
  <w:style w:type="table" w:styleId="Cuadrculamedia2-nfasis6">
    <w:name w:val="Medium Grid 2 Accent 6"/>
    <w:basedOn w:val="Tablanormal"/>
    <w:uiPriority w:val="68"/>
    <w:rsid w:val="00247F8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styleId="Listaclara-nfasis6">
    <w:name w:val="Light List Accent 6"/>
    <w:basedOn w:val="Tablanormal"/>
    <w:uiPriority w:val="61"/>
    <w:rsid w:val="005F78B8"/>
    <w:rPr>
      <w:sz w:val="20"/>
      <w:szCs w:val="20"/>
      <w:lang w:val="es-MX"/>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UN3PjHqOIE1vxDK33CwqfYNcWA==">AMUW2mX1Ro1T3FSQBZ69je67QaPmbK3G9zMC8fZZX1meEzlBH+BSwWED0XCJOnrxEEP/rr+SJGDRCC6LyQOUJ97rxq8COyCNGot58P4Z5NsJXEYkHcjUnrM=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8</Pages>
  <Words>2646</Words>
  <Characters>14555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13</cp:revision>
  <dcterms:created xsi:type="dcterms:W3CDTF">2022-08-10T19:41:00Z</dcterms:created>
  <dcterms:modified xsi:type="dcterms:W3CDTF">2026-02-10T22:43:00Z</dcterms:modified>
</cp:coreProperties>
</file>