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76971" w:rsidRDefault="00076971">
      <w:pPr>
        <w:pStyle w:val="Ttulo1"/>
        <w:rPr>
          <w:rFonts w:ascii="Calibri" w:eastAsia="Times New Roman" w:hAnsi="Calibri" w:cs="Calibri"/>
          <w:color w:val="111111"/>
        </w:rPr>
      </w:pPr>
      <w:r>
        <w:rPr>
          <w:rFonts w:ascii="Calibri" w:eastAsia="Times New Roman" w:hAnsi="Calibri" w:cs="Calibri"/>
          <w:color w:val="111111"/>
        </w:rPr>
        <w:t>SOP — Políticas y Gestión de Neumáticos</w:t>
      </w:r>
    </w:p>
    <w:p w:rsidR="00076971" w:rsidRDefault="00076971">
      <w:pPr>
        <w:pStyle w:val="NormalWeb"/>
        <w:rPr>
          <w:rFonts w:ascii="Calibri" w:hAnsi="Calibri" w:cs="Calibri"/>
          <w:color w:val="111111"/>
          <w:sz w:val="22"/>
          <w:szCs w:val="22"/>
        </w:rPr>
      </w:pPr>
      <w:r>
        <w:rPr>
          <w:rFonts w:ascii="Calibri" w:hAnsi="Calibri" w:cs="Calibri"/>
          <w:b/>
          <w:bCs/>
          <w:color w:val="111111"/>
          <w:sz w:val="22"/>
          <w:szCs w:val="22"/>
        </w:rPr>
        <w:t>Pilar:</w:t>
      </w:r>
      <w:r>
        <w:rPr>
          <w:rFonts w:ascii="Calibri" w:hAnsi="Calibri" w:cs="Calibri"/>
          <w:color w:val="111111"/>
          <w:sz w:val="22"/>
          <w:szCs w:val="22"/>
        </w:rPr>
        <w:t xml:space="preserve"> Flota · </w:t>
      </w:r>
      <w:r>
        <w:rPr>
          <w:rFonts w:ascii="Calibri" w:hAnsi="Calibri" w:cs="Calibri"/>
          <w:b/>
          <w:bCs/>
          <w:color w:val="111111"/>
          <w:sz w:val="22"/>
          <w:szCs w:val="22"/>
        </w:rPr>
        <w:t>Punto DPO:</w:t>
      </w:r>
      <w:r>
        <w:rPr>
          <w:rFonts w:ascii="Calibri" w:hAnsi="Calibri" w:cs="Calibri"/>
          <w:color w:val="111111"/>
          <w:sz w:val="22"/>
          <w:szCs w:val="22"/>
        </w:rPr>
        <w:t xml:space="preserve"> 3.4 · </w:t>
      </w:r>
      <w:r>
        <w:rPr>
          <w:rFonts w:ascii="Calibri" w:hAnsi="Calibri" w:cs="Calibri"/>
          <w:b/>
          <w:bCs/>
          <w:color w:val="111111"/>
          <w:sz w:val="22"/>
          <w:szCs w:val="22"/>
        </w:rPr>
        <w:t>Requisitos:</w:t>
      </w:r>
      <w:r>
        <w:rPr>
          <w:rFonts w:ascii="Calibri" w:hAnsi="Calibri" w:cs="Calibri"/>
          <w:color w:val="111111"/>
          <w:sz w:val="22"/>
          <w:szCs w:val="22"/>
        </w:rPr>
        <w:t xml:space="preserve"> R3.4.3, R3.4.4</w:t>
      </w:r>
      <w:r>
        <w:rPr>
          <w:rFonts w:ascii="Calibri" w:hAnsi="Calibri" w:cs="Calibri"/>
          <w:color w:val="111111"/>
          <w:sz w:val="22"/>
          <w:szCs w:val="22"/>
        </w:rPr>
        <w:br/>
      </w:r>
      <w:r>
        <w:rPr>
          <w:rFonts w:ascii="Calibri" w:hAnsi="Calibri" w:cs="Calibri"/>
          <w:b/>
          <w:bCs/>
          <w:color w:val="111111"/>
          <w:sz w:val="22"/>
          <w:szCs w:val="22"/>
        </w:rPr>
        <w:t>Estado:</w:t>
      </w:r>
      <w:r>
        <w:rPr>
          <w:rFonts w:ascii="Calibri" w:hAnsi="Calibri" w:cs="Calibri"/>
          <w:color w:val="111111"/>
          <w:sz w:val="22"/>
          <w:szCs w:val="22"/>
        </w:rPr>
        <w:t xml:space="preserve"> BORRADOR para revisión · </w:t>
      </w:r>
      <w:r>
        <w:rPr>
          <w:rFonts w:ascii="Calibri" w:hAnsi="Calibri" w:cs="Calibri"/>
          <w:b/>
          <w:bCs/>
          <w:color w:val="111111"/>
          <w:sz w:val="22"/>
          <w:szCs w:val="22"/>
        </w:rPr>
        <w:t>Elaborado:</w:t>
      </w:r>
      <w:r>
        <w:rPr>
          <w:rFonts w:ascii="Calibri" w:hAnsi="Calibri" w:cs="Calibri"/>
          <w:color w:val="111111"/>
          <w:sz w:val="22"/>
          <w:szCs w:val="22"/>
        </w:rPr>
        <w:t xml:space="preserve"> 25/08/2026 · </w:t>
      </w:r>
      <w:r>
        <w:rPr>
          <w:rFonts w:ascii="Calibri" w:hAnsi="Calibri" w:cs="Calibri"/>
          <w:b/>
          <w:bCs/>
          <w:color w:val="111111"/>
          <w:sz w:val="22"/>
          <w:szCs w:val="22"/>
        </w:rPr>
        <w:t>Revisión:</w:t>
      </w:r>
      <w:r>
        <w:rPr>
          <w:rFonts w:ascii="Calibri" w:hAnsi="Calibri" w:cs="Calibri"/>
          <w:color w:val="111111"/>
          <w:sz w:val="22"/>
          <w:szCs w:val="22"/>
        </w:rPr>
        <w:t xml:space="preserve"> 0</w:t>
      </w:r>
    </w:p>
    <w:p w:rsidR="00076971" w:rsidRDefault="00076971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Objetivo</w:t>
      </w:r>
    </w:p>
    <w:p w:rsidR="00076971" w:rsidRDefault="00076971">
      <w:pPr>
        <w:pStyle w:val="NormalWeb"/>
        <w:rPr>
          <w:rFonts w:ascii="Calibri" w:hAnsi="Calibri" w:cs="Calibri"/>
          <w:color w:val="111111"/>
          <w:sz w:val="22"/>
          <w:szCs w:val="22"/>
        </w:rPr>
      </w:pPr>
      <w:r>
        <w:rPr>
          <w:rFonts w:ascii="Calibri" w:hAnsi="Calibri" w:cs="Calibri"/>
          <w:color w:val="111111"/>
          <w:sz w:val="22"/>
          <w:szCs w:val="22"/>
        </w:rPr>
        <w:t>Definir cómo se controla, se rota, se recapa y se da de baja cada cubierta de la flota, con medición mensual de profundidad y presión, para que el reemplazo se decida por el estado real de la goma y no por el km teórico, y para que un desgaste anormal se detecte como síntoma de alineación, presión o carga.</w:t>
      </w:r>
    </w:p>
    <w:p w:rsidR="00076971" w:rsidRDefault="00076971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Alcance</w:t>
      </w:r>
    </w:p>
    <w:p w:rsidR="00076971" w:rsidRDefault="00076971">
      <w:pPr>
        <w:pStyle w:val="NormalWeb"/>
        <w:rPr>
          <w:rFonts w:ascii="Calibri" w:hAnsi="Calibri" w:cs="Calibri"/>
          <w:color w:val="111111"/>
          <w:sz w:val="22"/>
          <w:szCs w:val="22"/>
        </w:rPr>
      </w:pPr>
      <w:r>
        <w:rPr>
          <w:rFonts w:ascii="Calibri" w:hAnsi="Calibri" w:cs="Calibri"/>
          <w:color w:val="111111"/>
          <w:sz w:val="22"/>
          <w:szCs w:val="22"/>
        </w:rPr>
        <w:t>Todas las cubiertas instaladas en unidades obligadas al control: camiones y autoelevadores. Las cubiertas de acoplado se controlan junto con el tractor. La rueda de auxilio se inventaría pero no entra en el cálculo de desgaste: viaja, no apoya.</w:t>
      </w:r>
    </w:p>
    <w:p w:rsidR="00076971" w:rsidRDefault="00076971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Definiciones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9"/>
        <w:gridCol w:w="6519"/>
      </w:tblGrid>
      <w:tr w:rsidR="00000000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EF3F8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jc w:val="center"/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  <w:t>Término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EF3F8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jc w:val="center"/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  <w:t>Significado</w:t>
            </w:r>
          </w:p>
        </w:tc>
      </w:tr>
      <w:tr w:rsidR="00000000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Ronda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Medición mensual de toda la flota con calibre. Es la unidad de dato del programa.</w:t>
            </w:r>
          </w:p>
        </w:tc>
      </w:tr>
      <w:tr w:rsidR="00000000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Profundidad de dibujo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Milímetros de goma remanente, medidos con calibre en el canal de referencia de la banda.</w:t>
            </w:r>
          </w:p>
        </w:tc>
      </w:tr>
      <w:tr w:rsidR="00000000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Mínimo legal / de circulación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3 mm. Por debajo, la cubierta sale de circulación.</w:t>
            </w:r>
          </w:p>
        </w:tc>
      </w:tr>
      <w:tr w:rsidR="00000000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Nivel de alerta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5 mm. A partir de acá se programa el reemplazo o el recapado.</w:t>
            </w:r>
          </w:p>
        </w:tc>
      </w:tr>
      <w:tr w:rsidR="00000000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Recapado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Reconstrucción de la banda de rodamiento. La cubierta vuelve con más goma que la que tenía: corta el tramo de medición.</w:t>
            </w:r>
          </w:p>
        </w:tc>
      </w:tr>
      <w:tr w:rsidR="00000000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Tasa de desgaste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Milímetros consumidos cada 1.000 km. Es lo que permite proyectar el cambio.</w:t>
            </w:r>
          </w:p>
        </w:tc>
      </w:tr>
      <w:tr w:rsidR="00000000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Números de fuego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Identificación grabada en el flanco. Es la matrícula de la cubierta.</w:t>
            </w:r>
          </w:p>
        </w:tc>
      </w:tr>
    </w:tbl>
    <w:p w:rsidR="00076971" w:rsidRDefault="00076971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RACI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15"/>
        <w:gridCol w:w="580"/>
        <w:gridCol w:w="1623"/>
        <w:gridCol w:w="538"/>
        <w:gridCol w:w="1232"/>
      </w:tblGrid>
      <w:tr w:rsidR="00000000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EF3F8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jc w:val="center"/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  <w:t>Actividad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EF3F8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jc w:val="center"/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  <w:t>SDF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EF3F8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jc w:val="center"/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  <w:t>PM / Operario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EF3F8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jc w:val="center"/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  <w:t>JDL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EF3F8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jc w:val="center"/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  <w:t>Proveedor</w:t>
            </w:r>
          </w:p>
        </w:tc>
      </w:tr>
      <w:tr w:rsidR="00000000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Alta de la cubierta con sus números de fuego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C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I</w:t>
            </w:r>
          </w:p>
        </w:tc>
      </w:tr>
      <w:tr w:rsidR="00000000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Ronda mensual de medición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I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—</w:t>
            </w:r>
          </w:p>
        </w:tc>
      </w:tr>
      <w:tr w:rsidR="00000000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Control de presión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I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—</w:t>
            </w:r>
          </w:p>
        </w:tc>
      </w:tr>
      <w:tr w:rsidR="00000000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Rotación y alineación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C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C</w:t>
            </w:r>
          </w:p>
        </w:tc>
      </w:tr>
      <w:tr w:rsidR="00000000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lastRenderedPageBreak/>
              <w:t>Envío y recepción de recapados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C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R</w:t>
            </w:r>
          </w:p>
        </w:tc>
      </w:tr>
      <w:tr w:rsidR="00000000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Baja y disposición final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C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R</w:t>
            </w:r>
          </w:p>
        </w:tc>
      </w:tr>
      <w:tr w:rsidR="00000000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Análisis de desgaste y plan de acción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I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I</w:t>
            </w:r>
          </w:p>
        </w:tc>
      </w:tr>
    </w:tbl>
    <w:p w:rsidR="00076971" w:rsidRDefault="00076971">
      <w:pPr>
        <w:pStyle w:val="NormalWeb"/>
        <w:rPr>
          <w:rFonts w:ascii="Calibri" w:hAnsi="Calibri" w:cs="Calibri"/>
          <w:color w:val="111111"/>
          <w:sz w:val="20"/>
          <w:szCs w:val="20"/>
        </w:rPr>
      </w:pPr>
      <w:r>
        <w:rPr>
          <w:rFonts w:ascii="Calibri" w:hAnsi="Calibri" w:cs="Calibri"/>
          <w:b/>
          <w:bCs/>
          <w:color w:val="111111"/>
          <w:sz w:val="20"/>
          <w:szCs w:val="20"/>
        </w:rPr>
        <w:t>R</w:t>
      </w:r>
      <w:r>
        <w:rPr>
          <w:rFonts w:ascii="Calibri" w:hAnsi="Calibri" w:cs="Calibri"/>
          <w:color w:val="111111"/>
          <w:sz w:val="20"/>
          <w:szCs w:val="20"/>
        </w:rPr>
        <w:t xml:space="preserve"> el que hace · </w:t>
      </w:r>
      <w:r>
        <w:rPr>
          <w:rFonts w:ascii="Calibri" w:hAnsi="Calibri" w:cs="Calibri"/>
          <w:b/>
          <w:bCs/>
          <w:color w:val="111111"/>
          <w:sz w:val="20"/>
          <w:szCs w:val="20"/>
        </w:rPr>
        <w:t>A</w:t>
      </w:r>
      <w:r>
        <w:rPr>
          <w:rFonts w:ascii="Calibri" w:hAnsi="Calibri" w:cs="Calibri"/>
          <w:color w:val="111111"/>
          <w:sz w:val="20"/>
          <w:szCs w:val="20"/>
        </w:rPr>
        <w:t xml:space="preserve"> el dueño del indicador · </w:t>
      </w:r>
      <w:r>
        <w:rPr>
          <w:rFonts w:ascii="Calibri" w:hAnsi="Calibri" w:cs="Calibri"/>
          <w:b/>
          <w:bCs/>
          <w:color w:val="111111"/>
          <w:sz w:val="20"/>
          <w:szCs w:val="20"/>
        </w:rPr>
        <w:t>C</w:t>
      </w:r>
      <w:r>
        <w:rPr>
          <w:rFonts w:ascii="Calibri" w:hAnsi="Calibri" w:cs="Calibri"/>
          <w:color w:val="111111"/>
          <w:sz w:val="20"/>
          <w:szCs w:val="20"/>
        </w:rPr>
        <w:t xml:space="preserve"> consultado · </w:t>
      </w:r>
      <w:r>
        <w:rPr>
          <w:rFonts w:ascii="Calibri" w:hAnsi="Calibri" w:cs="Calibri"/>
          <w:b/>
          <w:bCs/>
          <w:color w:val="111111"/>
          <w:sz w:val="20"/>
          <w:szCs w:val="20"/>
        </w:rPr>
        <w:t>I</w:t>
      </w:r>
      <w:r>
        <w:rPr>
          <w:rFonts w:ascii="Calibri" w:hAnsi="Calibri" w:cs="Calibri"/>
          <w:color w:val="111111"/>
          <w:sz w:val="20"/>
          <w:szCs w:val="20"/>
        </w:rPr>
        <w:t xml:space="preserve"> informado.</w:t>
      </w:r>
    </w:p>
    <w:p w:rsidR="00076971" w:rsidRDefault="00076971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Flujograma</w:t>
      </w:r>
    </w:p>
    <w:p w:rsidR="00076971" w:rsidRDefault="00076971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11111"/>
          <w:sz w:val="22"/>
          <w:szCs w:val="22"/>
        </w:rPr>
      </w:pPr>
      <w:r>
        <w:rPr>
          <w:rFonts w:ascii="Calibri" w:eastAsia="Times New Roman" w:hAnsi="Calibri" w:cs="Calibri"/>
          <w:color w:val="111111"/>
          <w:sz w:val="22"/>
          <w:szCs w:val="22"/>
        </w:rPr>
        <w:t>Alta de la cubierta: se registra con números de fuego, marca, medida, tipo (nueva o recapada) y su dibujo declarado.</w:t>
      </w:r>
    </w:p>
    <w:p w:rsidR="00076971" w:rsidRDefault="00076971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11111"/>
          <w:sz w:val="22"/>
          <w:szCs w:val="22"/>
        </w:rPr>
      </w:pPr>
      <w:r>
        <w:rPr>
          <w:rFonts w:ascii="Calibri" w:eastAsia="Times New Roman" w:hAnsi="Calibri" w:cs="Calibri"/>
          <w:color w:val="111111"/>
          <w:sz w:val="22"/>
          <w:szCs w:val="22"/>
        </w:rPr>
        <w:t>Montaje en una posición de una unidad.</w:t>
      </w:r>
    </w:p>
    <w:p w:rsidR="00076971" w:rsidRDefault="00076971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11111"/>
          <w:sz w:val="22"/>
          <w:szCs w:val="22"/>
        </w:rPr>
      </w:pPr>
      <w:r>
        <w:rPr>
          <w:rFonts w:ascii="Calibri" w:eastAsia="Times New Roman" w:hAnsi="Calibri" w:cs="Calibri"/>
          <w:color w:val="111111"/>
          <w:sz w:val="22"/>
          <w:szCs w:val="22"/>
        </w:rPr>
        <w:t>Ronda mensual: se mide profundidad y presión de cada posición.</w:t>
      </w:r>
    </w:p>
    <w:p w:rsidR="00076971" w:rsidRDefault="00076971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11111"/>
          <w:sz w:val="22"/>
          <w:szCs w:val="22"/>
        </w:rPr>
      </w:pPr>
      <w:r>
        <w:rPr>
          <w:rFonts w:ascii="Calibri" w:eastAsia="Times New Roman" w:hAnsi="Calibri" w:cs="Calibri"/>
          <w:color w:val="111111"/>
          <w:sz w:val="22"/>
          <w:szCs w:val="22"/>
        </w:rPr>
        <w:t xml:space="preserve">¿Profundidad menor a 5 mm? </w:t>
      </w:r>
      <w:r>
        <w:rPr>
          <w:rFonts w:ascii="Calibri" w:eastAsia="Times New Roman" w:hAnsi="Calibri" w:cs="Calibri"/>
          <w:b/>
          <w:bCs/>
          <w:color w:val="111111"/>
          <w:sz w:val="22"/>
          <w:szCs w:val="22"/>
        </w:rPr>
        <w:t>Sí</w:t>
      </w:r>
      <w:r>
        <w:rPr>
          <w:rFonts w:ascii="Calibri" w:eastAsia="Times New Roman" w:hAnsi="Calibri" w:cs="Calibri"/>
          <w:color w:val="111111"/>
          <w:sz w:val="22"/>
          <w:szCs w:val="22"/>
        </w:rPr>
        <w:t xml:space="preserve"> → se programa reemplazo o recapado. </w:t>
      </w:r>
      <w:r>
        <w:rPr>
          <w:rFonts w:ascii="Calibri" w:eastAsia="Times New Roman" w:hAnsi="Calibri" w:cs="Calibri"/>
          <w:b/>
          <w:bCs/>
          <w:color w:val="111111"/>
          <w:sz w:val="22"/>
          <w:szCs w:val="22"/>
        </w:rPr>
        <w:t>No</w:t>
      </w:r>
      <w:r>
        <w:rPr>
          <w:rFonts w:ascii="Calibri" w:eastAsia="Times New Roman" w:hAnsi="Calibri" w:cs="Calibri"/>
          <w:color w:val="111111"/>
          <w:sz w:val="22"/>
          <w:szCs w:val="22"/>
        </w:rPr>
        <w:t xml:space="preserve"> → sigue.</w:t>
      </w:r>
    </w:p>
    <w:p w:rsidR="00076971" w:rsidRDefault="00076971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11111"/>
          <w:sz w:val="22"/>
          <w:szCs w:val="22"/>
        </w:rPr>
      </w:pPr>
      <w:r>
        <w:rPr>
          <w:rFonts w:ascii="Calibri" w:eastAsia="Times New Roman" w:hAnsi="Calibri" w:cs="Calibri"/>
          <w:color w:val="111111"/>
          <w:sz w:val="22"/>
          <w:szCs w:val="22"/>
        </w:rPr>
        <w:t xml:space="preserve">¿Profundidad menor a 3 mm? </w:t>
      </w:r>
      <w:r>
        <w:rPr>
          <w:rFonts w:ascii="Calibri" w:eastAsia="Times New Roman" w:hAnsi="Calibri" w:cs="Calibri"/>
          <w:b/>
          <w:bCs/>
          <w:color w:val="111111"/>
          <w:sz w:val="22"/>
          <w:szCs w:val="22"/>
        </w:rPr>
        <w:t>Sí</w:t>
      </w:r>
      <w:r>
        <w:rPr>
          <w:rFonts w:ascii="Calibri" w:eastAsia="Times New Roman" w:hAnsi="Calibri" w:cs="Calibri"/>
          <w:color w:val="111111"/>
          <w:sz w:val="22"/>
          <w:szCs w:val="22"/>
        </w:rPr>
        <w:t xml:space="preserve"> → la unidad no sale hasta reemplazarla.</w:t>
      </w:r>
    </w:p>
    <w:p w:rsidR="00076971" w:rsidRDefault="00076971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11111"/>
          <w:sz w:val="22"/>
          <w:szCs w:val="22"/>
        </w:rPr>
      </w:pPr>
      <w:r>
        <w:rPr>
          <w:rFonts w:ascii="Calibri" w:eastAsia="Times New Roman" w:hAnsi="Calibri" w:cs="Calibri"/>
          <w:color w:val="111111"/>
          <w:sz w:val="22"/>
          <w:szCs w:val="22"/>
        </w:rPr>
        <w:t>Al desmontar: recapado (vuelve al circuito) o baja (sale como residuo, con certificado).</w:t>
      </w:r>
    </w:p>
    <w:p w:rsidR="00076971" w:rsidRDefault="00076971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11111"/>
          <w:sz w:val="22"/>
          <w:szCs w:val="22"/>
        </w:rPr>
      </w:pPr>
      <w:r>
        <w:rPr>
          <w:rFonts w:ascii="Calibri" w:eastAsia="Times New Roman" w:hAnsi="Calibri" w:cs="Calibri"/>
          <w:color w:val="111111"/>
          <w:sz w:val="22"/>
          <w:szCs w:val="22"/>
        </w:rPr>
        <w:t>Cierre mensual: cobertura de la ronda, conformidad, desgaste por unidad y por eje, plan de acción sobre los desvíos.</w:t>
      </w:r>
    </w:p>
    <w:p w:rsidR="00076971" w:rsidRDefault="00076971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Campo de aplicación</w:t>
      </w:r>
    </w:p>
    <w:p w:rsidR="00076971" w:rsidRDefault="00076971">
      <w:pPr>
        <w:pStyle w:val="NormalWeb"/>
        <w:rPr>
          <w:rFonts w:ascii="Calibri" w:hAnsi="Calibri" w:cs="Calibri"/>
          <w:color w:val="111111"/>
          <w:sz w:val="22"/>
          <w:szCs w:val="22"/>
        </w:rPr>
      </w:pPr>
      <w:r>
        <w:rPr>
          <w:rFonts w:ascii="Calibri" w:hAnsi="Calibri" w:cs="Calibri"/>
          <w:color w:val="111111"/>
          <w:sz w:val="22"/>
          <w:szCs w:val="22"/>
        </w:rPr>
        <w:t>CD y taller. La medición la hace el operario en el playón, con calibre, unidad por unidad.</w:t>
      </w:r>
    </w:p>
    <w:p w:rsidR="00076971" w:rsidRDefault="00076971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Desarrollo</w:t>
      </w:r>
    </w:p>
    <w:p w:rsidR="00076971" w:rsidRDefault="00076971">
      <w:pPr>
        <w:pStyle w:val="Ttulo3"/>
        <w:rPr>
          <w:rFonts w:ascii="Calibri" w:eastAsia="Times New Roman" w:hAnsi="Calibri" w:cs="Calibri"/>
          <w:color w:val="111111"/>
        </w:rPr>
      </w:pPr>
      <w:r>
        <w:rPr>
          <w:rFonts w:ascii="Calibri" w:eastAsia="Times New Roman" w:hAnsi="Calibri" w:cs="Calibri"/>
          <w:color w:val="111111"/>
        </w:rPr>
        <w:t>7.1 Alta e identificación</w:t>
      </w:r>
    </w:p>
    <w:p w:rsidR="00076971" w:rsidRDefault="00076971">
      <w:pPr>
        <w:pStyle w:val="NormalWeb"/>
        <w:rPr>
          <w:rFonts w:ascii="Calibri" w:hAnsi="Calibri" w:cs="Calibri"/>
          <w:color w:val="111111"/>
          <w:sz w:val="22"/>
          <w:szCs w:val="22"/>
        </w:rPr>
      </w:pPr>
      <w:r>
        <w:rPr>
          <w:rFonts w:ascii="Calibri" w:hAnsi="Calibri" w:cs="Calibri"/>
          <w:color w:val="111111"/>
          <w:sz w:val="22"/>
          <w:szCs w:val="22"/>
        </w:rPr>
        <w:t xml:space="preserve">Cada cubierta se da de alta con sus números de fuego, marca, medida y tipo. El dibujo que se carga en el alta es el </w:t>
      </w:r>
      <w:r>
        <w:rPr>
          <w:rFonts w:ascii="Calibri" w:hAnsi="Calibri" w:cs="Calibri"/>
          <w:b/>
          <w:bCs/>
          <w:color w:val="111111"/>
          <w:sz w:val="22"/>
          <w:szCs w:val="22"/>
        </w:rPr>
        <w:t>declarado del modelo</w:t>
      </w:r>
      <w:r>
        <w:rPr>
          <w:rFonts w:ascii="Calibri" w:hAnsi="Calibri" w:cs="Calibri"/>
          <w:color w:val="111111"/>
          <w:sz w:val="22"/>
          <w:szCs w:val="22"/>
        </w:rPr>
        <w:t>, no una medición: sirve para saber con cuánta goma entró, pero no es un punto de medición contra el cual restar. La app lo distingue explícitamente.</w:t>
      </w:r>
    </w:p>
    <w:p w:rsidR="00076971" w:rsidRDefault="00076971">
      <w:pPr>
        <w:pStyle w:val="Ttulo3"/>
        <w:rPr>
          <w:rFonts w:ascii="Calibri" w:eastAsia="Times New Roman" w:hAnsi="Calibri" w:cs="Calibri"/>
          <w:color w:val="111111"/>
        </w:rPr>
      </w:pPr>
      <w:r>
        <w:rPr>
          <w:rFonts w:ascii="Calibri" w:eastAsia="Times New Roman" w:hAnsi="Calibri" w:cs="Calibri"/>
          <w:color w:val="111111"/>
        </w:rPr>
        <w:t>7.2 Ronda mensual</w:t>
      </w:r>
    </w:p>
    <w:p w:rsidR="00076971" w:rsidRDefault="00076971">
      <w:pPr>
        <w:pStyle w:val="NormalWeb"/>
        <w:rPr>
          <w:rFonts w:ascii="Calibri" w:hAnsi="Calibri" w:cs="Calibri"/>
          <w:color w:val="111111"/>
          <w:sz w:val="22"/>
          <w:szCs w:val="22"/>
        </w:rPr>
      </w:pPr>
      <w:r>
        <w:rPr>
          <w:rFonts w:ascii="Calibri" w:hAnsi="Calibri" w:cs="Calibri"/>
          <w:color w:val="111111"/>
          <w:sz w:val="22"/>
          <w:szCs w:val="22"/>
        </w:rPr>
        <w:t xml:space="preserve">Una vez por mes se mide </w:t>
      </w:r>
      <w:r>
        <w:rPr>
          <w:rFonts w:ascii="Calibri" w:hAnsi="Calibri" w:cs="Calibri"/>
          <w:b/>
          <w:bCs/>
          <w:color w:val="111111"/>
          <w:sz w:val="22"/>
          <w:szCs w:val="22"/>
        </w:rPr>
        <w:t>toda la flota obligada</w:t>
      </w:r>
      <w:r>
        <w:rPr>
          <w:rFonts w:ascii="Calibri" w:hAnsi="Calibri" w:cs="Calibri"/>
          <w:color w:val="111111"/>
          <w:sz w:val="22"/>
          <w:szCs w:val="22"/>
        </w:rPr>
        <w:t>, no una muestra. Por cada posición se registra profundidad y presión.</w:t>
      </w:r>
    </w:p>
    <w:p w:rsidR="00076971" w:rsidRDefault="00076971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11111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11111"/>
          <w:sz w:val="22"/>
          <w:szCs w:val="22"/>
        </w:rPr>
        <w:t>Siempre el mismo canal</w:t>
      </w:r>
      <w:r>
        <w:rPr>
          <w:rFonts w:ascii="Calibri" w:eastAsia="Times New Roman" w:hAnsi="Calibri" w:cs="Calibri"/>
          <w:color w:val="111111"/>
          <w:sz w:val="22"/>
          <w:szCs w:val="22"/>
        </w:rPr>
        <w:t xml:space="preserve"> de la banda. Cambiar de canal entre rondas mete una diferencia que después se lee como desgaste.</w:t>
      </w:r>
    </w:p>
    <w:p w:rsidR="00076971" w:rsidRDefault="00076971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11111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11111"/>
          <w:sz w:val="22"/>
          <w:szCs w:val="22"/>
        </w:rPr>
        <w:t>Calibre</w:t>
      </w:r>
      <w:r>
        <w:rPr>
          <w:rFonts w:ascii="Calibri" w:eastAsia="Times New Roman" w:hAnsi="Calibri" w:cs="Calibri"/>
          <w:color w:val="111111"/>
          <w:sz w:val="22"/>
          <w:szCs w:val="22"/>
        </w:rPr>
        <w:t>, no regla ni estimación visual.</w:t>
      </w:r>
    </w:p>
    <w:p w:rsidR="00076971" w:rsidRDefault="00076971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11111"/>
          <w:sz w:val="22"/>
          <w:szCs w:val="22"/>
        </w:rPr>
      </w:pPr>
      <w:r>
        <w:rPr>
          <w:rFonts w:ascii="Calibri" w:eastAsia="Times New Roman" w:hAnsi="Calibri" w:cs="Calibri"/>
          <w:color w:val="111111"/>
          <w:sz w:val="22"/>
          <w:szCs w:val="22"/>
        </w:rPr>
        <w:t xml:space="preserve">El </w:t>
      </w:r>
      <w:r>
        <w:rPr>
          <w:rFonts w:ascii="Calibri" w:eastAsia="Times New Roman" w:hAnsi="Calibri" w:cs="Calibri"/>
          <w:b/>
          <w:bCs/>
          <w:color w:val="111111"/>
          <w:sz w:val="22"/>
          <w:szCs w:val="22"/>
        </w:rPr>
        <w:t>km</w:t>
      </w:r>
      <w:r>
        <w:rPr>
          <w:rFonts w:ascii="Calibri" w:eastAsia="Times New Roman" w:hAnsi="Calibri" w:cs="Calibri"/>
          <w:color w:val="111111"/>
          <w:sz w:val="22"/>
          <w:szCs w:val="22"/>
        </w:rPr>
        <w:t xml:space="preserve"> de la medición no se le pide al que mide: lo estampa la app desde el odómetro de las lecturas reales de la unidad, si hay una lectura buena dentro de los 7 días.</w:t>
      </w:r>
    </w:p>
    <w:p w:rsidR="00076971" w:rsidRDefault="00076971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11111"/>
          <w:sz w:val="22"/>
          <w:szCs w:val="22"/>
        </w:rPr>
      </w:pPr>
      <w:r>
        <w:rPr>
          <w:rFonts w:ascii="Calibri" w:eastAsia="Times New Roman" w:hAnsi="Calibri" w:cs="Calibri"/>
          <w:color w:val="111111"/>
          <w:sz w:val="22"/>
          <w:szCs w:val="22"/>
        </w:rPr>
        <w:t xml:space="preserve">La ronda se carga desde </w:t>
      </w:r>
      <w:r>
        <w:rPr>
          <w:rFonts w:ascii="Calibri" w:eastAsia="Times New Roman" w:hAnsi="Calibri" w:cs="Calibri"/>
          <w:b/>
          <w:bCs/>
          <w:color w:val="111111"/>
          <w:sz w:val="22"/>
          <w:szCs w:val="22"/>
        </w:rPr>
        <w:t>Mis neumáticos</w:t>
      </w:r>
      <w:r>
        <w:rPr>
          <w:rFonts w:ascii="Calibri" w:eastAsia="Times New Roman" w:hAnsi="Calibri" w:cs="Calibri"/>
          <w:color w:val="111111"/>
          <w:sz w:val="22"/>
          <w:szCs w:val="22"/>
        </w:rPr>
        <w:t xml:space="preserve"> (operario) o desde el módulo de Neumáticos (supervisión).</w:t>
      </w:r>
    </w:p>
    <w:p w:rsidR="00076971" w:rsidRDefault="00076971">
      <w:pPr>
        <w:shd w:val="clear" w:color="auto" w:fill="FFF8E1"/>
        <w:divId w:val="1968078807"/>
        <w:rPr>
          <w:rFonts w:ascii="Calibri" w:eastAsia="Times New Roman" w:hAnsi="Calibri" w:cs="Calibri"/>
          <w:color w:val="111111"/>
          <w:sz w:val="20"/>
          <w:szCs w:val="20"/>
        </w:rPr>
      </w:pPr>
      <w:r>
        <w:rPr>
          <w:rFonts w:ascii="Calibri" w:eastAsia="Times New Roman" w:hAnsi="Calibri" w:cs="Calibri"/>
          <w:b/>
          <w:bCs/>
          <w:color w:val="111111"/>
          <w:sz w:val="20"/>
          <w:szCs w:val="20"/>
        </w:rPr>
        <w:t>Cobertura completa o el dato no sirve:</w:t>
      </w:r>
      <w:r>
        <w:rPr>
          <w:rFonts w:ascii="Calibri" w:eastAsia="Times New Roman" w:hAnsi="Calibri" w:cs="Calibri"/>
          <w:color w:val="111111"/>
          <w:sz w:val="20"/>
          <w:szCs w:val="20"/>
        </w:rPr>
        <w:t xml:space="preserve"> en agosto de 2026 se midieron 5 unidades de 16. Sin la flota completa cada mes no hay con qué comparar, y el desgaste por km no converge nunca. La cobertura de la ronda es, por ahora, el indicador más importante del programa.</w:t>
      </w:r>
    </w:p>
    <w:p w:rsidR="00076971" w:rsidRDefault="00076971">
      <w:pPr>
        <w:pStyle w:val="Ttulo3"/>
        <w:rPr>
          <w:rFonts w:ascii="Calibri" w:eastAsia="Times New Roman" w:hAnsi="Calibri" w:cs="Calibri"/>
          <w:color w:val="111111"/>
        </w:rPr>
      </w:pPr>
      <w:r>
        <w:rPr>
          <w:rFonts w:ascii="Calibri" w:eastAsia="Times New Roman" w:hAnsi="Calibri" w:cs="Calibri"/>
          <w:color w:val="111111"/>
        </w:rPr>
        <w:t>7.3 Presión</w:t>
      </w:r>
    </w:p>
    <w:p w:rsidR="00076971" w:rsidRDefault="00076971">
      <w:pPr>
        <w:pStyle w:val="NormalWeb"/>
        <w:rPr>
          <w:rFonts w:ascii="Calibri" w:hAnsi="Calibri" w:cs="Calibri"/>
          <w:color w:val="111111"/>
          <w:sz w:val="22"/>
          <w:szCs w:val="22"/>
        </w:rPr>
      </w:pPr>
      <w:r>
        <w:rPr>
          <w:rFonts w:ascii="Calibri" w:hAnsi="Calibri" w:cs="Calibri"/>
          <w:color w:val="111111"/>
          <w:sz w:val="22"/>
          <w:szCs w:val="22"/>
        </w:rPr>
        <w:lastRenderedPageBreak/>
        <w:t xml:space="preserve">Rango de trabajo: </w:t>
      </w:r>
      <w:r>
        <w:rPr>
          <w:rFonts w:ascii="Calibri" w:hAnsi="Calibri" w:cs="Calibri"/>
          <w:b/>
          <w:bCs/>
          <w:color w:val="111111"/>
          <w:sz w:val="22"/>
          <w:szCs w:val="22"/>
        </w:rPr>
        <w:t>90 a 120 psi</w:t>
      </w:r>
      <w:r>
        <w:rPr>
          <w:rFonts w:ascii="Calibri" w:hAnsi="Calibri" w:cs="Calibri"/>
          <w:color w:val="111111"/>
          <w:sz w:val="22"/>
          <w:szCs w:val="22"/>
        </w:rPr>
        <w:t>. La presión se controla en frío. Una presión baja sostenida se ve después como desgaste en los hombros de la banda; una presión alta, como desgaste en el centro.</w:t>
      </w:r>
    </w:p>
    <w:p w:rsidR="00076971" w:rsidRDefault="00076971">
      <w:pPr>
        <w:pStyle w:val="Ttulo3"/>
        <w:rPr>
          <w:rFonts w:ascii="Calibri" w:eastAsia="Times New Roman" w:hAnsi="Calibri" w:cs="Calibri"/>
          <w:color w:val="111111"/>
        </w:rPr>
      </w:pPr>
      <w:r>
        <w:rPr>
          <w:rFonts w:ascii="Calibri" w:eastAsia="Times New Roman" w:hAnsi="Calibri" w:cs="Calibri"/>
          <w:color w:val="111111"/>
        </w:rPr>
        <w:t>7.4 Rotación y alineación</w:t>
      </w:r>
    </w:p>
    <w:p w:rsidR="00076971" w:rsidRDefault="00076971">
      <w:pPr>
        <w:pStyle w:val="NormalWeb"/>
        <w:rPr>
          <w:rFonts w:ascii="Calibri" w:hAnsi="Calibri" w:cs="Calibri"/>
          <w:color w:val="111111"/>
          <w:sz w:val="22"/>
          <w:szCs w:val="22"/>
        </w:rPr>
      </w:pPr>
      <w:r>
        <w:rPr>
          <w:rFonts w:ascii="Calibri" w:hAnsi="Calibri" w:cs="Calibri"/>
          <w:color w:val="111111"/>
          <w:sz w:val="22"/>
          <w:szCs w:val="22"/>
        </w:rPr>
        <w:t>La rotación se programa según el desgaste medido, no por calendario fijo. Se dispara cuando dos cubiertas del mismo eje muestran tasas de desgaste distintas entre sí por encima del 40 %: eso no es la goma, es alineación, presión o carga. La alineación se verifica al reemplazar cubiertas de dirección y ante cualquier desgaste irregular.</w:t>
      </w:r>
    </w:p>
    <w:p w:rsidR="00076971" w:rsidRDefault="00076971">
      <w:pPr>
        <w:pStyle w:val="Ttulo3"/>
        <w:rPr>
          <w:rFonts w:ascii="Calibri" w:eastAsia="Times New Roman" w:hAnsi="Calibri" w:cs="Calibri"/>
          <w:color w:val="111111"/>
        </w:rPr>
      </w:pPr>
      <w:r>
        <w:rPr>
          <w:rFonts w:ascii="Calibri" w:eastAsia="Times New Roman" w:hAnsi="Calibri" w:cs="Calibri"/>
          <w:color w:val="111111"/>
        </w:rPr>
        <w:t>7.5 Recapado</w:t>
      </w:r>
    </w:p>
    <w:p w:rsidR="00076971" w:rsidRDefault="00076971">
      <w:pPr>
        <w:pStyle w:val="NormalWeb"/>
        <w:rPr>
          <w:rFonts w:ascii="Calibri" w:hAnsi="Calibri" w:cs="Calibri"/>
          <w:color w:val="111111"/>
          <w:sz w:val="22"/>
          <w:szCs w:val="22"/>
        </w:rPr>
      </w:pPr>
      <w:r>
        <w:rPr>
          <w:rFonts w:ascii="Calibri" w:hAnsi="Calibri" w:cs="Calibri"/>
          <w:color w:val="111111"/>
          <w:sz w:val="22"/>
          <w:szCs w:val="22"/>
        </w:rPr>
        <w:t>Se envía a recapar la cubierta que llega al nivel de alerta con la carcasa en condiciones. Se registra el remito de envío, y al volver se registra el retorno con el dibujo declarado por el recapador. Ese valor también es nominal, no medido.</w:t>
      </w:r>
    </w:p>
    <w:p w:rsidR="00076971" w:rsidRDefault="00076971">
      <w:pPr>
        <w:pStyle w:val="Ttulo3"/>
        <w:rPr>
          <w:rFonts w:ascii="Calibri" w:eastAsia="Times New Roman" w:hAnsi="Calibri" w:cs="Calibri"/>
          <w:color w:val="111111"/>
        </w:rPr>
      </w:pPr>
      <w:r>
        <w:rPr>
          <w:rFonts w:ascii="Calibri" w:eastAsia="Times New Roman" w:hAnsi="Calibri" w:cs="Calibri"/>
          <w:color w:val="111111"/>
        </w:rPr>
        <w:t>7.6 Baja y disposición</w:t>
      </w:r>
    </w:p>
    <w:p w:rsidR="00076971" w:rsidRDefault="00076971">
      <w:pPr>
        <w:pStyle w:val="NormalWeb"/>
        <w:rPr>
          <w:rFonts w:ascii="Calibri" w:hAnsi="Calibri" w:cs="Calibri"/>
          <w:color w:val="111111"/>
          <w:sz w:val="22"/>
          <w:szCs w:val="22"/>
        </w:rPr>
      </w:pPr>
      <w:r>
        <w:rPr>
          <w:rFonts w:ascii="Calibri" w:hAnsi="Calibri" w:cs="Calibri"/>
          <w:color w:val="111111"/>
          <w:sz w:val="22"/>
          <w:szCs w:val="22"/>
        </w:rPr>
        <w:t>La cubierta que llega al mínimo o presenta daño estructural se da de baja con su comprobante y sale por el circuito de residuos, con certificado de disposición final y sus números de fuego. Ver el SOP de Disposición de Residuos de Mantenimiento (1.4).</w:t>
      </w:r>
    </w:p>
    <w:p w:rsidR="00076971" w:rsidRDefault="00076971">
      <w:pPr>
        <w:pStyle w:val="Ttulo3"/>
        <w:rPr>
          <w:rFonts w:ascii="Calibri" w:eastAsia="Times New Roman" w:hAnsi="Calibri" w:cs="Calibri"/>
          <w:color w:val="111111"/>
        </w:rPr>
      </w:pPr>
      <w:r>
        <w:rPr>
          <w:rFonts w:ascii="Calibri" w:eastAsia="Times New Roman" w:hAnsi="Calibri" w:cs="Calibri"/>
          <w:color w:val="111111"/>
        </w:rPr>
        <w:t>7.7 Desgaste por km</w:t>
      </w:r>
    </w:p>
    <w:p w:rsidR="00076971" w:rsidRDefault="00076971">
      <w:pPr>
        <w:pStyle w:val="NormalWeb"/>
        <w:rPr>
          <w:rFonts w:ascii="Calibri" w:hAnsi="Calibri" w:cs="Calibri"/>
          <w:color w:val="111111"/>
          <w:sz w:val="22"/>
          <w:szCs w:val="22"/>
        </w:rPr>
      </w:pPr>
      <w:r>
        <w:rPr>
          <w:rFonts w:ascii="Calibri" w:hAnsi="Calibri" w:cs="Calibri"/>
          <w:color w:val="111111"/>
          <w:sz w:val="22"/>
          <w:szCs w:val="22"/>
        </w:rPr>
        <w:t>La tasa se calcula sobre las mediciones de ronda, ajustando una recta sobre todos los puntos del tramo de vida vigente. Se lee a dos niveles:</w:t>
      </w:r>
    </w:p>
    <w:p w:rsidR="00076971" w:rsidRDefault="00076971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11111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11111"/>
          <w:sz w:val="22"/>
          <w:szCs w:val="22"/>
        </w:rPr>
        <w:t>Por unidad y eje</w:t>
      </w:r>
      <w:r>
        <w:rPr>
          <w:rFonts w:ascii="Calibri" w:eastAsia="Times New Roman" w:hAnsi="Calibri" w:cs="Calibri"/>
          <w:color w:val="111111"/>
          <w:sz w:val="22"/>
          <w:szCs w:val="22"/>
        </w:rPr>
        <w:t>: junta los puntos de las cubiertas del eje, converge antes y es el número que se usa para decidir.</w:t>
      </w:r>
    </w:p>
    <w:p w:rsidR="00076971" w:rsidRDefault="00076971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11111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11111"/>
          <w:sz w:val="22"/>
          <w:szCs w:val="22"/>
        </w:rPr>
        <w:t>Por cubierta</w:t>
      </w:r>
      <w:r>
        <w:rPr>
          <w:rFonts w:ascii="Calibri" w:eastAsia="Times New Roman" w:hAnsi="Calibri" w:cs="Calibri"/>
          <w:color w:val="111111"/>
          <w:sz w:val="22"/>
          <w:szCs w:val="22"/>
        </w:rPr>
        <w:t>: sirve para detectar la que se sale del promedio de sus pares.</w:t>
      </w:r>
    </w:p>
    <w:p w:rsidR="00076971" w:rsidRDefault="00076971">
      <w:pPr>
        <w:pStyle w:val="NormalWeb"/>
        <w:rPr>
          <w:rFonts w:ascii="Calibri" w:hAnsi="Calibri" w:cs="Calibri"/>
          <w:color w:val="111111"/>
          <w:sz w:val="22"/>
          <w:szCs w:val="22"/>
        </w:rPr>
      </w:pPr>
      <w:r>
        <w:rPr>
          <w:rFonts w:ascii="Calibri" w:hAnsi="Calibri" w:cs="Calibri"/>
          <w:color w:val="111111"/>
          <w:sz w:val="22"/>
          <w:szCs w:val="22"/>
        </w:rPr>
        <w:t>Con dos rondas la tasa todavía no significa nada: la dispersión del calibre es más grande que el desgaste de un mes. Se necesitan entre 5 y 8 rondas mensuales seguidas con la flota completa para que el número sea utilizable.</w:t>
      </w:r>
    </w:p>
    <w:p w:rsidR="00076971" w:rsidRDefault="00076971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 Control e indicadores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6"/>
        <w:gridCol w:w="3248"/>
        <w:gridCol w:w="1739"/>
        <w:gridCol w:w="1075"/>
      </w:tblGrid>
      <w:tr w:rsidR="00000000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EF3F8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jc w:val="center"/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  <w:t>Indicador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EF3F8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jc w:val="center"/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  <w:t>Cálculo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EF3F8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jc w:val="center"/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  <w:t>Meta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EF3F8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jc w:val="center"/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  <w:t>Frecuencia</w:t>
            </w:r>
          </w:p>
        </w:tc>
      </w:tr>
      <w:tr w:rsidR="00000000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Medición de neumáticos (cobertura)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Cubiertas medidas en el mes ÷ cubiertas instaladas obligadas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100 %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Mensual</w:t>
            </w:r>
          </w:p>
        </w:tc>
      </w:tr>
      <w:tr w:rsidR="00000000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Conformidad de neumáticos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Cubiertas medidas dentro de norma ÷ cubiertas medidas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100 %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Mensual</w:t>
            </w:r>
          </w:p>
        </w:tc>
      </w:tr>
      <w:tr w:rsidR="00000000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Desgaste por 1.000 km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Pendiente de la recta ajustada sobre las rondas, por unidad y eje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A definir cuando haya 5 rondas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Mensual</w:t>
            </w:r>
          </w:p>
        </w:tc>
      </w:tr>
      <w:tr w:rsidR="00000000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Cubiertas fuera del promedio de sus pares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Cubiertas con desvío mayor a 40 % contra su unidad+eje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Mensual</w:t>
            </w:r>
          </w:p>
        </w:tc>
      </w:tr>
    </w:tbl>
    <w:p w:rsidR="00076971" w:rsidRDefault="00076971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 Registros</w:t>
      </w:r>
    </w:p>
    <w:p w:rsidR="00076971" w:rsidRDefault="00076971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11111"/>
          <w:sz w:val="22"/>
          <w:szCs w:val="22"/>
        </w:rPr>
      </w:pPr>
      <w:r>
        <w:rPr>
          <w:rFonts w:ascii="Calibri" w:eastAsia="Times New Roman" w:hAnsi="Calibri" w:cs="Calibri"/>
          <w:color w:val="111111"/>
          <w:sz w:val="22"/>
          <w:szCs w:val="22"/>
        </w:rPr>
        <w:t>Inventario de cubiertas con números de fuego, posición y estado (app).</w:t>
      </w:r>
    </w:p>
    <w:p w:rsidR="00076971" w:rsidRDefault="00076971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11111"/>
          <w:sz w:val="22"/>
          <w:szCs w:val="22"/>
        </w:rPr>
      </w:pPr>
      <w:r>
        <w:rPr>
          <w:rFonts w:ascii="Calibri" w:eastAsia="Times New Roman" w:hAnsi="Calibri" w:cs="Calibri"/>
          <w:color w:val="111111"/>
          <w:sz w:val="22"/>
          <w:szCs w:val="22"/>
        </w:rPr>
        <w:t>Mediciones por ronda, con profundidad, presión y km (app, permanente).</w:t>
      </w:r>
    </w:p>
    <w:p w:rsidR="00076971" w:rsidRDefault="00076971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11111"/>
          <w:sz w:val="22"/>
          <w:szCs w:val="22"/>
        </w:rPr>
      </w:pPr>
      <w:r>
        <w:rPr>
          <w:rFonts w:ascii="Calibri" w:eastAsia="Times New Roman" w:hAnsi="Calibri" w:cs="Calibri"/>
          <w:color w:val="111111"/>
          <w:sz w:val="22"/>
          <w:szCs w:val="22"/>
        </w:rPr>
        <w:t>Remitos de recapado y comprobantes de baja (app).</w:t>
      </w:r>
    </w:p>
    <w:p w:rsidR="00076971" w:rsidRDefault="00076971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11111"/>
          <w:sz w:val="22"/>
          <w:szCs w:val="22"/>
        </w:rPr>
      </w:pPr>
      <w:r>
        <w:rPr>
          <w:rFonts w:ascii="Calibri" w:eastAsia="Times New Roman" w:hAnsi="Calibri" w:cs="Calibri"/>
          <w:color w:val="111111"/>
          <w:sz w:val="22"/>
          <w:szCs w:val="22"/>
        </w:rPr>
        <w:t>Certificados de disposición final (app, solapa Residuos).</w:t>
      </w:r>
    </w:p>
    <w:p w:rsidR="00076971" w:rsidRDefault="00076971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 Control de revisiones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4"/>
        <w:gridCol w:w="1481"/>
        <w:gridCol w:w="793"/>
        <w:gridCol w:w="4292"/>
        <w:gridCol w:w="1378"/>
      </w:tblGrid>
      <w:tr w:rsidR="00000000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EF3F8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jc w:val="center"/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  <w:t>N.º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EF3F8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jc w:val="center"/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  <w:t>Responsable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EF3F8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jc w:val="center"/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  <w:t>Cargo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EF3F8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jc w:val="center"/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EF3F8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jc w:val="center"/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  <w:t>Fecha</w:t>
            </w:r>
          </w:p>
        </w:tc>
      </w:tr>
      <w:tr w:rsidR="00000000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 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SDF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Elaboración del procedimiento (borrador)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25/08/2026</w:t>
            </w:r>
          </w:p>
        </w:tc>
      </w:tr>
      <w:tr w:rsidR="00000000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 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 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 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76971" w:rsidRDefault="00076971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 </w:t>
            </w:r>
          </w:p>
        </w:tc>
      </w:tr>
    </w:tbl>
    <w:p w:rsidR="00076971" w:rsidRDefault="00076971">
      <w:pPr>
        <w:rPr>
          <w:rFonts w:eastAsia="Times New Roman"/>
        </w:rPr>
      </w:pPr>
    </w:p>
    <w:sectPr w:rsidR="000000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72165"/>
    <w:multiLevelType w:val="multilevel"/>
    <w:tmpl w:val="C9846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38090E"/>
    <w:multiLevelType w:val="multilevel"/>
    <w:tmpl w:val="3FF885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6C1054D"/>
    <w:multiLevelType w:val="multilevel"/>
    <w:tmpl w:val="174E8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996C94"/>
    <w:multiLevelType w:val="multilevel"/>
    <w:tmpl w:val="61F0D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8679196">
    <w:abstractNumId w:val="1"/>
  </w:num>
  <w:num w:numId="2" w16cid:durableId="2121490644">
    <w:abstractNumId w:val="2"/>
  </w:num>
  <w:num w:numId="3" w16cid:durableId="1845246024">
    <w:abstractNumId w:val="0"/>
  </w:num>
  <w:num w:numId="4" w16cid:durableId="2817677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6971"/>
    <w:rsid w:val="00076971"/>
    <w:rsid w:val="000F6D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B59914B-9846-431A-A011-5AD4B7044E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pBdr>
        <w:bottom w:val="single" w:sz="12" w:space="3" w:color="333333"/>
      </w:pBdr>
      <w:spacing w:before="100" w:beforeAutospacing="1" w:after="100" w:afterAutospacing="1"/>
      <w:outlineLvl w:val="0"/>
    </w:pPr>
    <w:rPr>
      <w:b/>
      <w:bCs/>
      <w:kern w:val="36"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pPr>
      <w:spacing w:before="270" w:after="100" w:afterAutospacing="1"/>
      <w:outlineLvl w:val="1"/>
    </w:pPr>
    <w:rPr>
      <w:b/>
      <w:bCs/>
      <w:caps/>
      <w:color w:val="1F4E79"/>
      <w:sz w:val="25"/>
      <w:szCs w:val="25"/>
    </w:rPr>
  </w:style>
  <w:style w:type="paragraph" w:styleId="Ttulo3">
    <w:name w:val="heading 3"/>
    <w:basedOn w:val="Normal"/>
    <w:link w:val="Ttulo3Car"/>
    <w:uiPriority w:val="9"/>
    <w:qFormat/>
    <w:pPr>
      <w:spacing w:before="180" w:after="100" w:afterAutospacing="1"/>
      <w:outlineLvl w:val="2"/>
    </w:pPr>
    <w:rPr>
      <w:b/>
      <w:bCs/>
      <w:sz w:val="23"/>
      <w:szCs w:val="23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nota">
    <w:name w:val="nota"/>
    <w:basedOn w:val="Normal"/>
    <w:pPr>
      <w:pBdr>
        <w:left w:val="single" w:sz="18" w:space="8" w:color="E0A800"/>
      </w:pBdr>
      <w:shd w:val="clear" w:color="auto" w:fill="FFF8E1"/>
      <w:spacing w:before="100" w:beforeAutospacing="1" w:after="100" w:afterAutospacing="1"/>
    </w:pPr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68078807">
      <w:marLeft w:val="0"/>
      <w:marRight w:val="0"/>
      <w:marTop w:val="0"/>
      <w:marBottom w:val="0"/>
      <w:divBdr>
        <w:top w:val="none" w:sz="0" w:space="0" w:color="auto"/>
        <w:left w:val="single" w:sz="18" w:space="8" w:color="E0A800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966</Words>
  <Characters>5313</Characters>
  <Application>Microsoft Office Word</Application>
  <DocSecurity>4</DocSecurity>
  <Lines>44</Lines>
  <Paragraphs>12</Paragraphs>
  <ScaleCrop>false</ScaleCrop>
  <Company/>
  <LinksUpToDate>false</LinksUpToDate>
  <CharactersWithSpaces>6267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SOP - Politicas y Gestion de Neumaticos</dc:title>
  <dc:subject/>
  <dc:creator>Fausto Azzaretti</dc:creator>
  <cp:keywords/>
  <dc:description/>
  <cp:lastModifiedBy>Fausto Azzaretti</cp:lastModifiedBy>
  <cp:revision>2</cp:revision>
  <dcterms:created xsi:type="dcterms:W3CDTF">2026-08-25T17:55:00Z</dcterms:created>
  <dcterms:modified xsi:type="dcterms:W3CDTF">2026-08-25T17:55:00Z</dcterms:modified>
</cp:coreProperties>
</file>