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0DC3" w14:textId="77777777" w:rsidR="00726397" w:rsidRDefault="00726397">
      <w:pPr>
        <w:pStyle w:val="Ttulo1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SOP — Consumo de Combustible</w:t>
      </w:r>
    </w:p>
    <w:p w14:paraId="530BD4D2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Pilar:</w:t>
      </w:r>
      <w:r>
        <w:rPr>
          <w:rFonts w:ascii="Calibri" w:hAnsi="Calibri" w:cs="Calibri"/>
          <w:color w:val="111111"/>
          <w:sz w:val="22"/>
          <w:szCs w:val="22"/>
        </w:rPr>
        <w:t xml:space="preserve"> Flota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Punto DPO:</w:t>
      </w:r>
      <w:r>
        <w:rPr>
          <w:rFonts w:ascii="Calibri" w:hAnsi="Calibri" w:cs="Calibri"/>
          <w:color w:val="111111"/>
          <w:sz w:val="22"/>
          <w:szCs w:val="22"/>
        </w:rPr>
        <w:t xml:space="preserve"> 3.3</w:t>
      </w:r>
      <w:r>
        <w:rPr>
          <w:rFonts w:ascii="Calibri" w:hAnsi="Calibri" w:cs="Calibri"/>
          <w:color w:val="111111"/>
          <w:sz w:val="22"/>
          <w:szCs w:val="22"/>
        </w:rPr>
        <w:br/>
      </w:r>
      <w:r>
        <w:rPr>
          <w:rFonts w:ascii="Calibri" w:hAnsi="Calibri" w:cs="Calibri"/>
          <w:b/>
          <w:bCs/>
          <w:color w:val="111111"/>
          <w:sz w:val="22"/>
          <w:szCs w:val="22"/>
        </w:rPr>
        <w:t>Estado:</w:t>
      </w:r>
      <w:r>
        <w:rPr>
          <w:rFonts w:ascii="Calibri" w:hAnsi="Calibri" w:cs="Calibri"/>
          <w:color w:val="111111"/>
          <w:sz w:val="22"/>
          <w:szCs w:val="22"/>
        </w:rPr>
        <w:t xml:space="preserve"> BORRADOR para revisión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Elaborado:</w:t>
      </w:r>
      <w:r>
        <w:rPr>
          <w:rFonts w:ascii="Calibri" w:hAnsi="Calibri" w:cs="Calibri"/>
          <w:color w:val="111111"/>
          <w:sz w:val="22"/>
          <w:szCs w:val="22"/>
        </w:rPr>
        <w:t xml:space="preserve"> 25/08/2026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Revisión:</w:t>
      </w:r>
      <w:r>
        <w:rPr>
          <w:rFonts w:ascii="Calibri" w:hAnsi="Calibri" w:cs="Calibri"/>
          <w:color w:val="111111"/>
          <w:sz w:val="22"/>
          <w:szCs w:val="22"/>
        </w:rPr>
        <w:t xml:space="preserve"> 0</w:t>
      </w:r>
      <w:r>
        <w:rPr>
          <w:rFonts w:ascii="Calibri" w:hAnsi="Calibri" w:cs="Calibri"/>
          <w:color w:val="111111"/>
          <w:sz w:val="22"/>
          <w:szCs w:val="22"/>
        </w:rPr>
        <w:br/>
      </w:r>
      <w:r>
        <w:rPr>
          <w:rFonts w:ascii="Calibri" w:hAnsi="Calibri" w:cs="Calibri"/>
          <w:b/>
          <w:bCs/>
          <w:color w:val="111111"/>
          <w:sz w:val="22"/>
          <w:szCs w:val="22"/>
        </w:rPr>
        <w:t>Nota:</w:t>
      </w:r>
      <w:r>
        <w:rPr>
          <w:rFonts w:ascii="Calibri" w:hAnsi="Calibri" w:cs="Calibri"/>
          <w:color w:val="111111"/>
          <w:sz w:val="22"/>
          <w:szCs w:val="22"/>
        </w:rPr>
        <w:t xml:space="preserve"> </w:t>
      </w:r>
      <w:r>
        <w:rPr>
          <w:rFonts w:ascii="Calibri" w:hAnsi="Calibri" w:cs="Calibri"/>
          <w:color w:val="111111"/>
          <w:sz w:val="22"/>
          <w:szCs w:val="22"/>
        </w:rPr>
        <w:t>existe una versión de este SOP para Misiones (“SOP Combustible Camiones” y “SOP Combustible Autoelevadores”). Este borrador es la adaptación a la operación de Pampeana y al registro en la app.</w:t>
      </w:r>
    </w:p>
    <w:p w14:paraId="07F0542F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</w:t>
      </w:r>
    </w:p>
    <w:p w14:paraId="29DA4506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Controlar el reaprovisionamiento y el consumo de combustible de la flota: que cada carga quede registrada con litros, km y unidad; que el rendimiento de cada unidad se compare contra su referencia; y que todo desvío tenga causa y plan de acción.</w:t>
      </w:r>
    </w:p>
    <w:p w14:paraId="3596C8A1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</w:t>
      </w:r>
    </w:p>
    <w:p w14:paraId="749B8CF8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Todas las unidades que consumen combustible: camiones y utilitarios de distribución, unidades de Team Run y autoelevadores del depósito. Incluye el AdBlue/urea.</w:t>
      </w:r>
    </w:p>
    <w:p w14:paraId="0E7C070C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Definiciones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974"/>
      </w:tblGrid>
      <w:tr w:rsidR="00000000" w14:paraId="536A47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272210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529D53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Significado</w:t>
            </w:r>
          </w:p>
        </w:tc>
      </w:tr>
      <w:tr w:rsidR="00000000" w14:paraId="47BF2A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32C0A4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150DCC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Supervisor de Flota</w:t>
            </w:r>
          </w:p>
        </w:tc>
      </w:tr>
      <w:tr w:rsidR="00000000" w14:paraId="4DA16A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BFA707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77811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Km recorridos por litro consumido. En autoelevadores, litros por hora de uso.</w:t>
            </w:r>
          </w:p>
        </w:tc>
      </w:tr>
      <w:tr w:rsidR="00000000" w14:paraId="7E59DE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794A8C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Carga con medición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2DA683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Carga en la que se registró el odómetro y por lo tanto permite calcular km recorridos entre cargas. Es la única que entra al cálculo de rendimiento.</w:t>
            </w:r>
          </w:p>
        </w:tc>
      </w:tr>
      <w:tr w:rsidR="00000000" w14:paraId="22E277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BECE2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Tanque lleno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F8B91E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Criterio de carga que hace comparable el consumo entre cargas: se carga hasta el corte del surtidor.</w:t>
            </w:r>
          </w:p>
        </w:tc>
      </w:tr>
      <w:tr w:rsidR="00000000" w14:paraId="6BC4DC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1A2339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Desvío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C62D4E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Rendimiento fuera del rango definido para el modelo de unidad.</w:t>
            </w:r>
          </w:p>
        </w:tc>
      </w:tr>
    </w:tbl>
    <w:p w14:paraId="7A5A91E1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RACI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555"/>
        <w:gridCol w:w="1859"/>
        <w:gridCol w:w="514"/>
        <w:gridCol w:w="1624"/>
      </w:tblGrid>
      <w:tr w:rsidR="00000000" w14:paraId="3846A2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9B6589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934244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61EA2B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Chofer / Operario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6147B1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JDL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082380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Administración</w:t>
            </w:r>
          </w:p>
        </w:tc>
      </w:tr>
      <w:tr w:rsidR="00000000" w14:paraId="18F357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E5CF4C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Capacitación sobre carga y registro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4E3E9E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C53374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53ACF3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1ECEE0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 w14:paraId="59D223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6106E4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Control de nivel antes de salir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522423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40F4E1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FF5559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7A09AD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—</w:t>
            </w:r>
          </w:p>
        </w:tc>
      </w:tr>
      <w:tr w:rsidR="00000000" w14:paraId="653F00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AC2780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Carga de combustible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745CEE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1DBAA8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8E683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41F41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—</w:t>
            </w:r>
          </w:p>
        </w:tc>
      </w:tr>
      <w:tr w:rsidR="00000000" w14:paraId="0EF019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F29A94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Registro de la carga en la app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20EE71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683441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A954DE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29856A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 w14:paraId="784FEE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05EC98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Conciliación con la factura del proveedor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52411B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98AA5C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CC6782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ABC922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</w:tr>
      <w:tr w:rsidR="00000000" w14:paraId="387698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71F3FE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Análisis de desvíos y plan de acción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AA2C9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7E7EF8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D9B434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E30D01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</w:tbl>
    <w:p w14:paraId="38BB0A77" w14:textId="77777777" w:rsidR="00726397" w:rsidRDefault="00726397">
      <w:pPr>
        <w:pStyle w:val="NormalWeb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b/>
          <w:bCs/>
          <w:color w:val="111111"/>
          <w:sz w:val="20"/>
          <w:szCs w:val="20"/>
        </w:rPr>
        <w:lastRenderedPageBreak/>
        <w:t>R</w:t>
      </w:r>
      <w:r>
        <w:rPr>
          <w:rFonts w:ascii="Calibri" w:hAnsi="Calibri" w:cs="Calibri"/>
          <w:color w:val="111111"/>
          <w:sz w:val="20"/>
          <w:szCs w:val="20"/>
        </w:rPr>
        <w:t xml:space="preserve"> </w:t>
      </w:r>
      <w:r>
        <w:rPr>
          <w:rFonts w:ascii="Calibri" w:hAnsi="Calibri" w:cs="Calibri"/>
          <w:color w:val="111111"/>
          <w:sz w:val="20"/>
          <w:szCs w:val="20"/>
        </w:rPr>
        <w:t xml:space="preserve">el que hace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A</w:t>
      </w:r>
      <w:r>
        <w:rPr>
          <w:rFonts w:ascii="Calibri" w:hAnsi="Calibri" w:cs="Calibri"/>
          <w:color w:val="111111"/>
          <w:sz w:val="20"/>
          <w:szCs w:val="20"/>
        </w:rPr>
        <w:t xml:space="preserve"> el dueño del indicador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C</w:t>
      </w:r>
      <w:r>
        <w:rPr>
          <w:rFonts w:ascii="Calibri" w:hAnsi="Calibri" w:cs="Calibri"/>
          <w:color w:val="111111"/>
          <w:sz w:val="20"/>
          <w:szCs w:val="20"/>
        </w:rPr>
        <w:t xml:space="preserve"> consultado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I</w:t>
      </w:r>
      <w:r>
        <w:rPr>
          <w:rFonts w:ascii="Calibri" w:hAnsi="Calibri" w:cs="Calibri"/>
          <w:color w:val="111111"/>
          <w:sz w:val="20"/>
          <w:szCs w:val="20"/>
        </w:rPr>
        <w:t xml:space="preserve"> informado.</w:t>
      </w:r>
    </w:p>
    <w:p w14:paraId="7A8D5ACF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Flujograma</w:t>
      </w:r>
    </w:p>
    <w:p w14:paraId="1BE1A067" w14:textId="77777777" w:rsidR="00726397" w:rsidRDefault="0072639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El chofer controla el nivel del tanque. Por debajo del 25 % debe reaprovisionar.</w:t>
      </w:r>
    </w:p>
    <w:p w14:paraId="39D343CB" w14:textId="77777777" w:rsidR="00726397" w:rsidRDefault="0072639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Carga en la boca habitual del CD o, si no hay disponibilidad, en estación externa autorizada.</w:t>
      </w:r>
    </w:p>
    <w:p w14:paraId="78DC9B4F" w14:textId="77777777" w:rsidR="00726397" w:rsidRDefault="0072639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carga a tanque lleno y se anota el odómetro al momento de la carga.</w:t>
      </w:r>
    </w:p>
    <w:p w14:paraId="423F1A5D" w14:textId="77777777" w:rsidR="00726397" w:rsidRDefault="0072639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registra la carga en la app: unidad, fecha, litros, odómetro, tipo de combustible y comprobante.</w:t>
      </w:r>
    </w:p>
    <w:p w14:paraId="09E33496" w14:textId="77777777" w:rsidR="00726397" w:rsidRDefault="0072639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Cierre mensual: rendimiento por unidad y contra la referencia del modelo.</w:t>
      </w:r>
    </w:p>
    <w:p w14:paraId="6C6506F3" w14:textId="77777777" w:rsidR="00726397" w:rsidRDefault="0072639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¿Desvío?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causa y plan de acción sobre esa unidad.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No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se informa.</w:t>
      </w:r>
    </w:p>
    <w:p w14:paraId="7AC89BC6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Campo de aplicación</w:t>
      </w:r>
    </w:p>
    <w:p w14:paraId="7D0CF2BD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CD y estaciones de servicio autorizadas. Cuando la carga se hace fuera del circuito habitual, el comprobante tiene que incluir dominio, fecha, litros y km, porque es lo único que después permite conciliar.</w:t>
      </w:r>
    </w:p>
    <w:p w14:paraId="74C92794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Desarrollo</w:t>
      </w:r>
    </w:p>
    <w:p w14:paraId="640060C2" w14:textId="77777777" w:rsidR="00726397" w:rsidRDefault="00726397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7.1 Reaprovisionamiento</w:t>
      </w:r>
    </w:p>
    <w:p w14:paraId="7D8CE663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chofer reaprovisiona cuando el tanque llega al 25 % de su capacidad. Salir a ruta por debajo de ese nivel es un desvío del procedimiento, no una decisión del chofer.</w:t>
      </w:r>
    </w:p>
    <w:p w14:paraId="216F6418" w14:textId="77777777" w:rsidR="00726397" w:rsidRDefault="00726397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7.2 Registro de la carga</w:t>
      </w:r>
    </w:p>
    <w:p w14:paraId="495FB792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carga se registra en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Vehículos → Combustible</w:t>
      </w:r>
      <w:r>
        <w:rPr>
          <w:rFonts w:ascii="Calibri" w:hAnsi="Calibri" w:cs="Calibri"/>
          <w:color w:val="111111"/>
          <w:sz w:val="22"/>
          <w:szCs w:val="22"/>
        </w:rPr>
        <w:t>. Campos:</w:t>
      </w:r>
    </w:p>
    <w:p w14:paraId="7812477C" w14:textId="77777777" w:rsidR="00726397" w:rsidRDefault="0072639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Unidad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fecha</w:t>
      </w:r>
      <w:r>
        <w:rPr>
          <w:rFonts w:ascii="Calibri" w:eastAsia="Times New Roman" w:hAnsi="Calibri" w:cs="Calibri"/>
          <w:color w:val="111111"/>
          <w:sz w:val="22"/>
          <w:szCs w:val="22"/>
        </w:rPr>
        <w:t>.</w:t>
      </w:r>
    </w:p>
    <w:p w14:paraId="704D4C04" w14:textId="77777777" w:rsidR="00726397" w:rsidRDefault="0072639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Litros</w:t>
      </w:r>
      <w:r>
        <w:rPr>
          <w:rFonts w:ascii="Calibri" w:eastAsia="Times New Roman" w:hAnsi="Calibri" w:cs="Calibri"/>
          <w:color w:val="111111"/>
          <w:sz w:val="22"/>
          <w:szCs w:val="22"/>
        </w:rPr>
        <w:t>. El sistema rechaza cargas por encima del máximo razonable (500 litros) para atajar el error de tipeo, que es la causa número uno de rendimientos absurdos.</w:t>
      </w:r>
    </w:p>
    <w:p w14:paraId="606A2BEA" w14:textId="77777777" w:rsidR="00726397" w:rsidRDefault="0072639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Odómetro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al momento de la carga —u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horómetro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11111"/>
          <w:sz w:val="22"/>
          <w:szCs w:val="22"/>
        </w:rPr>
        <w:t>en autoelevadores—. Sin este dato la carga se registra igual pero no entra al cálculo de rendimiento.</w:t>
      </w:r>
    </w:p>
    <w:p w14:paraId="64239097" w14:textId="77777777" w:rsidR="00726397" w:rsidRDefault="0072639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Tipo de combustible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(gasoil o urea/AdBlue).</w:t>
      </w:r>
    </w:p>
    <w:p w14:paraId="436ECFDD" w14:textId="77777777" w:rsidR="00726397" w:rsidRDefault="0072639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Comprobante</w:t>
      </w:r>
      <w:r>
        <w:rPr>
          <w:rFonts w:ascii="Calibri" w:eastAsia="Times New Roman" w:hAnsi="Calibri" w:cs="Calibri"/>
          <w:color w:val="111111"/>
          <w:sz w:val="22"/>
          <w:szCs w:val="22"/>
        </w:rPr>
        <w:t>: foto del ticket o factura.</w:t>
      </w:r>
    </w:p>
    <w:p w14:paraId="0D29376A" w14:textId="77777777" w:rsidR="00726397" w:rsidRDefault="00726397">
      <w:pPr>
        <w:shd w:val="clear" w:color="auto" w:fill="FFF8E1"/>
        <w:divId w:val="500194909"/>
        <w:rPr>
          <w:rFonts w:ascii="Calibri" w:eastAsia="Times New Roman" w:hAnsi="Calibri" w:cs="Calibri"/>
          <w:color w:val="111111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111111"/>
          <w:sz w:val="20"/>
          <w:szCs w:val="20"/>
        </w:rPr>
        <w:t>Por qué el odómetro es obligatorio en la práctica:</w:t>
      </w:r>
      <w:r>
        <w:rPr>
          <w:rFonts w:ascii="Calibri" w:eastAsia="Times New Roman" w:hAnsi="Calibri" w:cs="Calibri"/>
          <w:color w:val="111111"/>
          <w:sz w:val="20"/>
          <w:szCs w:val="20"/>
        </w:rPr>
        <w:t xml:space="preserve"> el rendimiento se calcula como km recorridos entre dos cargas dividido los litros. Una carga sin odómetro no rompe el registro, pero deja un hueco que arrastra el error a la carga siguiente.</w:t>
      </w:r>
    </w:p>
    <w:p w14:paraId="013FA717" w14:textId="77777777" w:rsidR="00726397" w:rsidRDefault="00726397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7.3 Urea / AdBlue</w:t>
      </w:r>
    </w:p>
    <w:p w14:paraId="01F9DF12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 registra con el mismo formulario, indicando el tipo. El consumo de urea se sigue por separado: un consumo muy por debajo de lo esperado es señal de que el sistema de tratamiento fue anulado, lo cual es una falla ambiental y legal, no un ahorro.</w:t>
      </w:r>
    </w:p>
    <w:p w14:paraId="69EF747A" w14:textId="77777777" w:rsidR="00726397" w:rsidRDefault="00726397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7.4 Rangos de referencia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838"/>
        <w:gridCol w:w="4045"/>
      </w:tblGrid>
      <w:tr w:rsidR="00000000" w14:paraId="1B9EAE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5467D7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lastRenderedPageBreak/>
              <w:t>Tipo de unidad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206379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94CD8F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Fuente</w:t>
            </w:r>
          </w:p>
        </w:tc>
      </w:tr>
      <w:tr w:rsidR="00000000" w14:paraId="01AEA7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883763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Camión de reparto (chasis)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C1A4C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33 a 35 litros cada 100 km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DC7CDB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Rango acordado con el fabricante (SOP Combustible Camiones, Misiones, rev. 01) — </w:t>
            </w:r>
            <w:r>
              <w:rPr>
                <w:rStyle w:val="nfasis"/>
                <w:rFonts w:ascii="Calibri" w:eastAsia="Times New Roman" w:hAnsi="Calibri" w:cs="Calibri"/>
                <w:color w:val="111111"/>
                <w:sz w:val="20"/>
                <w:szCs w:val="20"/>
              </w:rPr>
              <w:t>a confirmar para las unidades del CD</w:t>
            </w:r>
          </w:p>
        </w:tc>
      </w:tr>
      <w:tr w:rsidR="00000000" w14:paraId="748082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577167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Camión con balancín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A6555C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38 a 40 litros cada 100 km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258C35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Rango acordado con el fabricante (SOP Combustible Camiones, Misiones, rev. 01) — </w:t>
            </w:r>
            <w:r>
              <w:rPr>
                <w:rStyle w:val="nfasis"/>
                <w:rFonts w:ascii="Calibri" w:eastAsia="Times New Roman" w:hAnsi="Calibri" w:cs="Calibri"/>
                <w:color w:val="111111"/>
                <w:sz w:val="20"/>
                <w:szCs w:val="20"/>
              </w:rPr>
              <w:t>a confirmar para las unidades del CD</w:t>
            </w:r>
          </w:p>
        </w:tc>
      </w:tr>
      <w:tr w:rsidR="00000000" w14:paraId="6760C4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13B4E5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Utilitario / Team Run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F5E79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 completar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A84B62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Promedio histórico</w:t>
            </w:r>
          </w:p>
        </w:tc>
      </w:tr>
      <w:tr w:rsidR="00000000" w14:paraId="7CF1AA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60EF74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Autoelevador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CED848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4 litros/hora (Toyota 2,5 t, nafta súper). GLP: tubo de 13,5 kg ≈ 6 horas de operación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4C2343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SOP Combustible Autoelevadores, Misiones — </w:t>
            </w:r>
            <w:r>
              <w:rPr>
                <w:rStyle w:val="nfasis"/>
                <w:rFonts w:ascii="Calibri" w:eastAsia="Times New Roman" w:hAnsi="Calibri" w:cs="Calibri"/>
                <w:color w:val="111111"/>
                <w:sz w:val="20"/>
                <w:szCs w:val="20"/>
              </w:rPr>
              <w:t>a confirmar según el modelo del CD</w:t>
            </w:r>
          </w:p>
        </w:tc>
      </w:tr>
    </w:tbl>
    <w:p w14:paraId="5E30EA7B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Mientras no estén cerrados los rangos del fabricante, la referencia es el promedio móvil de los últimos 6 meses de la propia unidad, y el desvío se mide contra sí misma.</w:t>
      </w:r>
    </w:p>
    <w:p w14:paraId="15A06367" w14:textId="77777777" w:rsidR="00726397" w:rsidRDefault="00726397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7.5 Tratamiento del desvío</w:t>
      </w:r>
    </w:p>
    <w:p w14:paraId="45121D6A" w14:textId="77777777" w:rsidR="00726397" w:rsidRDefault="00726397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Ante un rendimiento fuera de rango se revisa, en este orden: error de carga del dato, presión de neumáticos, filtro de aire, estilo de conducción, y recién después falla mecánica. Si el desvío se sostiene dos meses, se abre plan de acción con herramienta de gestión.</w:t>
      </w:r>
    </w:p>
    <w:p w14:paraId="62FF51C8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Control e indicadores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122"/>
        <w:gridCol w:w="2048"/>
        <w:gridCol w:w="1075"/>
      </w:tblGrid>
      <w:tr w:rsidR="00000000" w14:paraId="16B067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F16388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845E9B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2E2013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Meta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91427D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Frecuencia</w:t>
            </w:r>
          </w:p>
        </w:tc>
      </w:tr>
      <w:tr w:rsidR="00000000" w14:paraId="1AFFD7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898015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Rendimiento de combustible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0349B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Σ km recorridos ÷ Σ litros de las cargas con medición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30ECFD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 definir por 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00A67D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 w14:paraId="5E5391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FD7418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Cargas con odómetro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5BB32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Cargas con odómetro ÷ cargas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F5CC39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100 %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A85863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 w14:paraId="1F0303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0F2166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Huella de CO₂ de flota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8131A7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Litros cargados × factor de emisión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5AA737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Según meta de sustentabilidad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CDB0C3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 w14:paraId="7BC6C9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9BDE1B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Gasto de combustible vs. presupuesto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A498D5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Real ÷ presupuesto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881A37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≤ 100 %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628CF7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</w:tbl>
    <w:p w14:paraId="142E2C2B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Registros</w:t>
      </w:r>
    </w:p>
    <w:p w14:paraId="4A61254B" w14:textId="77777777" w:rsidR="00726397" w:rsidRDefault="0072639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Registros de carga con comprobante (app, exportable a PDF).</w:t>
      </w:r>
    </w:p>
    <w:p w14:paraId="0BE08684" w14:textId="77777777" w:rsidR="00726397" w:rsidRDefault="0072639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Facturas del proveedor conciliadas contra los registros (Administración).</w:t>
      </w:r>
    </w:p>
    <w:p w14:paraId="3F952861" w14:textId="77777777" w:rsidR="00726397" w:rsidRDefault="0072639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Planes de acción sobre unidades con desvío sostenido.</w:t>
      </w:r>
    </w:p>
    <w:p w14:paraId="583AF471" w14:textId="77777777" w:rsidR="00726397" w:rsidRDefault="0072639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Control de revisiones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248"/>
        <w:gridCol w:w="668"/>
        <w:gridCol w:w="4952"/>
        <w:gridCol w:w="1162"/>
      </w:tblGrid>
      <w:tr w:rsidR="00000000" w14:paraId="531A10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C07FC5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N.º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297E9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BA9C56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Cargo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0C6F26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10F1D4" w14:textId="77777777" w:rsidR="00726397" w:rsidRDefault="00726397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Fecha</w:t>
            </w:r>
          </w:p>
        </w:tc>
      </w:tr>
      <w:tr w:rsidR="00000000" w14:paraId="5D3448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F81170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1B0BC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A5D4D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E427CE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Elaboración del procedimiento para Pampeana (borrador)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D7FDE7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25/08/2026</w:t>
            </w:r>
          </w:p>
        </w:tc>
      </w:tr>
      <w:tr w:rsidR="00000000" w14:paraId="74EB68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C7AE4F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76E6D7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828D4A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7318CB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8ACD1B" w14:textId="77777777" w:rsidR="00726397" w:rsidRDefault="00726397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</w:tr>
    </w:tbl>
    <w:p w14:paraId="0621C678" w14:textId="77777777" w:rsidR="00726397" w:rsidRDefault="00726397">
      <w:pPr>
        <w:rPr>
          <w:rFonts w:eastAsia="Times New Roman"/>
        </w:rPr>
      </w:pP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3D3"/>
    <w:multiLevelType w:val="multilevel"/>
    <w:tmpl w:val="0242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62150"/>
    <w:multiLevelType w:val="multilevel"/>
    <w:tmpl w:val="656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A4C29"/>
    <w:multiLevelType w:val="multilevel"/>
    <w:tmpl w:val="EF7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828867">
    <w:abstractNumId w:val="0"/>
  </w:num>
  <w:num w:numId="2" w16cid:durableId="541748074">
    <w:abstractNumId w:val="1"/>
  </w:num>
  <w:num w:numId="3" w16cid:durableId="1297568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97"/>
    <w:rsid w:val="00726397"/>
    <w:rsid w:val="00A6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D92F9B"/>
  <w15:chartTrackingRefBased/>
  <w15:docId w15:val="{8A28EF57-692E-4CC2-A78E-A4AF6DEF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333333"/>
      </w:pBd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70" w:after="100" w:afterAutospacing="1"/>
      <w:outlineLvl w:val="1"/>
    </w:pPr>
    <w:rPr>
      <w:b/>
      <w:bCs/>
      <w:caps/>
      <w:color w:val="1F4E79"/>
      <w:sz w:val="25"/>
      <w:szCs w:val="25"/>
    </w:rPr>
  </w:style>
  <w:style w:type="paragraph" w:styleId="Ttulo3">
    <w:name w:val="heading 3"/>
    <w:basedOn w:val="Normal"/>
    <w:link w:val="Ttulo3Car"/>
    <w:uiPriority w:val="9"/>
    <w:qFormat/>
    <w:pPr>
      <w:spacing w:before="180" w:after="100" w:afterAutospacing="1"/>
      <w:outlineLvl w:val="2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pBdr>
        <w:left w:val="single" w:sz="18" w:space="8" w:color="E0A800"/>
      </w:pBdr>
      <w:shd w:val="clear" w:color="auto" w:fill="FFF8E1"/>
      <w:spacing w:before="100" w:beforeAutospacing="1" w:after="100" w:afterAutospacing="1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194909">
      <w:marLeft w:val="0"/>
      <w:marRight w:val="0"/>
      <w:marTop w:val="0"/>
      <w:marBottom w:val="0"/>
      <w:divBdr>
        <w:top w:val="none" w:sz="0" w:space="0" w:color="auto"/>
        <w:left w:val="single" w:sz="18" w:space="8" w:color="E0A8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4628</Characters>
  <Application>Microsoft Office Word</Application>
  <DocSecurity>4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Consumo de Combustible</dc:title>
  <dc:subject/>
  <dc:creator>Fausto Azzaretti</dc:creator>
  <cp:keywords/>
  <dc:description/>
  <cp:lastModifiedBy>Fausto Azzaretti</cp:lastModifiedBy>
  <cp:revision>2</cp:revision>
  <dcterms:created xsi:type="dcterms:W3CDTF">2026-08-26T14:18:00Z</dcterms:created>
  <dcterms:modified xsi:type="dcterms:W3CDTF">2026-08-26T14:18:00Z</dcterms:modified>
</cp:coreProperties>
</file>