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41145" w14:textId="77777777" w:rsidR="00E46D44" w:rsidRDefault="00E46D44">
      <w:pPr>
        <w:pStyle w:val="Ttulo1"/>
        <w:rPr>
          <w:rFonts w:ascii="Calibri" w:eastAsia="Times New Roman" w:hAnsi="Calibri" w:cs="Calibri"/>
          <w:color w:val="111111"/>
        </w:rPr>
      </w:pPr>
      <w:r>
        <w:rPr>
          <w:rFonts w:ascii="Calibri" w:eastAsia="Times New Roman" w:hAnsi="Calibri" w:cs="Calibri"/>
          <w:color w:val="111111"/>
        </w:rPr>
        <w:t>SOP — Políticas y Gestión de Neumáticos</w:t>
      </w:r>
    </w:p>
    <w:p w14:paraId="0B2751EC" w14:textId="77777777" w:rsidR="00E46D44" w:rsidRDefault="00E46D44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b/>
          <w:bCs/>
          <w:color w:val="111111"/>
          <w:sz w:val="22"/>
          <w:szCs w:val="22"/>
        </w:rPr>
        <w:t>Pilar:</w:t>
      </w:r>
      <w:r>
        <w:rPr>
          <w:rFonts w:ascii="Calibri" w:hAnsi="Calibri" w:cs="Calibri"/>
          <w:color w:val="111111"/>
          <w:sz w:val="22"/>
          <w:szCs w:val="22"/>
        </w:rPr>
        <w:t xml:space="preserve"> Flota ·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Punto DPO:</w:t>
      </w:r>
      <w:r>
        <w:rPr>
          <w:rFonts w:ascii="Calibri" w:hAnsi="Calibri" w:cs="Calibri"/>
          <w:color w:val="111111"/>
          <w:sz w:val="22"/>
          <w:szCs w:val="22"/>
        </w:rPr>
        <w:t xml:space="preserve"> 3.4 ·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Requisitos:</w:t>
      </w:r>
      <w:r>
        <w:rPr>
          <w:rFonts w:ascii="Calibri" w:hAnsi="Calibri" w:cs="Calibri"/>
          <w:color w:val="111111"/>
          <w:sz w:val="22"/>
          <w:szCs w:val="22"/>
        </w:rPr>
        <w:t xml:space="preserve"> R3.4.3, R3.4.4</w:t>
      </w:r>
      <w:r>
        <w:rPr>
          <w:rFonts w:ascii="Calibri" w:hAnsi="Calibri" w:cs="Calibri"/>
          <w:color w:val="111111"/>
          <w:sz w:val="22"/>
          <w:szCs w:val="22"/>
        </w:rPr>
        <w:br/>
      </w:r>
      <w:r>
        <w:rPr>
          <w:rFonts w:ascii="Calibri" w:hAnsi="Calibri" w:cs="Calibri"/>
          <w:b/>
          <w:bCs/>
          <w:color w:val="111111"/>
          <w:sz w:val="22"/>
          <w:szCs w:val="22"/>
        </w:rPr>
        <w:t>Estado:</w:t>
      </w:r>
      <w:r>
        <w:rPr>
          <w:rFonts w:ascii="Calibri" w:hAnsi="Calibri" w:cs="Calibri"/>
          <w:color w:val="111111"/>
          <w:sz w:val="22"/>
          <w:szCs w:val="22"/>
        </w:rPr>
        <w:t xml:space="preserve"> BORRADOR para revisión ·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Elaborado:</w:t>
      </w:r>
      <w:r>
        <w:rPr>
          <w:rFonts w:ascii="Calibri" w:hAnsi="Calibri" w:cs="Calibri"/>
          <w:color w:val="111111"/>
          <w:sz w:val="22"/>
          <w:szCs w:val="22"/>
        </w:rPr>
        <w:t xml:space="preserve"> 25/08/2026 ·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Revisión:</w:t>
      </w:r>
      <w:r>
        <w:rPr>
          <w:rFonts w:ascii="Calibri" w:hAnsi="Calibri" w:cs="Calibri"/>
          <w:color w:val="111111"/>
          <w:sz w:val="22"/>
          <w:szCs w:val="22"/>
        </w:rPr>
        <w:t xml:space="preserve"> 0</w:t>
      </w:r>
    </w:p>
    <w:p w14:paraId="7E7E73A4" w14:textId="77777777" w:rsidR="00E46D44" w:rsidRDefault="00E46D4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Objetivo</w:t>
      </w:r>
    </w:p>
    <w:p w14:paraId="54276186" w14:textId="77777777" w:rsidR="00E46D44" w:rsidRDefault="00E46D44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Definir cómo se controla, se rota, se recapa y se da de baja cada cubierta de la flota, con medición mensual de profundidad y presión, para que el reemplazo se decida por el estado real de la goma y no por el km teórico, y para que un desgaste anormal se detecte como síntoma de alineación, presión o carga.</w:t>
      </w:r>
    </w:p>
    <w:p w14:paraId="05D530C4" w14:textId="77777777" w:rsidR="00E46D44" w:rsidRDefault="00E46D4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Alcance</w:t>
      </w:r>
    </w:p>
    <w:p w14:paraId="5EBC95EF" w14:textId="77777777" w:rsidR="00E46D44" w:rsidRDefault="00E46D44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Todas las cubiertas instaladas en unidades obligadas al control: camiones y autoelevadores. Las cubiertas de acoplado se controlan junto con el tractor. La rueda de auxilio se inventaría pero no entra en el cálculo de desgaste: viaja, no apoya.</w:t>
      </w:r>
    </w:p>
    <w:p w14:paraId="03D0DDA6" w14:textId="77777777" w:rsidR="00E46D44" w:rsidRDefault="00E46D4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Definiciones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6519"/>
      </w:tblGrid>
      <w:tr w:rsidR="00000000" w14:paraId="750736A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D3EB63" w14:textId="77777777" w:rsidR="00E46D44" w:rsidRDefault="00E46D44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Término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FA3D1D" w14:textId="77777777" w:rsidR="00E46D44" w:rsidRDefault="00E46D44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Significado</w:t>
            </w:r>
          </w:p>
        </w:tc>
      </w:tr>
      <w:tr w:rsidR="00000000" w14:paraId="5EC3811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C8C2EB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Ronda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EA7CD3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Medición mensual de toda la flota con calibre. Es la unidad de dato del programa.</w:t>
            </w:r>
          </w:p>
        </w:tc>
      </w:tr>
      <w:tr w:rsidR="00000000" w14:paraId="76F128E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3D4D45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Profundidad de dibujo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C9FCBA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Milímetros de goma remanente, medidos con calibre en el canal de referencia de la banda.</w:t>
            </w:r>
          </w:p>
        </w:tc>
      </w:tr>
      <w:tr w:rsidR="00000000" w14:paraId="6367515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BC4FF6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Mínimo legal / de circulación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546302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3 mm. Por debajo, la cubierta sale de circulación.</w:t>
            </w:r>
          </w:p>
        </w:tc>
      </w:tr>
      <w:tr w:rsidR="00000000" w14:paraId="4456675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A85C23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Nivel de alerta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E362EA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5 mm. A partir de acá se programa el reemplazo o el recapado.</w:t>
            </w:r>
          </w:p>
        </w:tc>
      </w:tr>
      <w:tr w:rsidR="00000000" w14:paraId="5B0EEBF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C6BD75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Recapado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5F1756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Reconstrucción de la banda de rodamiento. La cubierta vuelve con más goma que la que tenía: corta el tramo de medición.</w:t>
            </w:r>
          </w:p>
        </w:tc>
      </w:tr>
      <w:tr w:rsidR="00000000" w14:paraId="292B7BC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7E9B79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Tasa de desgaste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1F6326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Milímetros consumidos cada 1.000 km. Es lo que permite proyectar el cambio.</w:t>
            </w:r>
          </w:p>
        </w:tc>
      </w:tr>
      <w:tr w:rsidR="00000000" w14:paraId="5CA9DE2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375184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Números de fuego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3EE37B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Identificación grabada en el flanco. Es la matrícula de la cubierta.</w:t>
            </w:r>
          </w:p>
        </w:tc>
      </w:tr>
    </w:tbl>
    <w:p w14:paraId="7BBCF474" w14:textId="77777777" w:rsidR="00E46D44" w:rsidRDefault="00E46D4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RACI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5"/>
        <w:gridCol w:w="580"/>
        <w:gridCol w:w="1623"/>
        <w:gridCol w:w="538"/>
        <w:gridCol w:w="1232"/>
      </w:tblGrid>
      <w:tr w:rsidR="00000000" w14:paraId="0847118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FB085E" w14:textId="77777777" w:rsidR="00E46D44" w:rsidRDefault="00E46D44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7CCC4D" w14:textId="77777777" w:rsidR="00E46D44" w:rsidRDefault="00E46D44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SDF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B66AC1" w14:textId="77777777" w:rsidR="00E46D44" w:rsidRDefault="00E46D44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PM / Operario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2A6494" w14:textId="77777777" w:rsidR="00E46D44" w:rsidRDefault="00E46D44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JDL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613BFD" w14:textId="77777777" w:rsidR="00E46D44" w:rsidRDefault="00E46D44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Proveedor</w:t>
            </w:r>
          </w:p>
        </w:tc>
      </w:tr>
      <w:tr w:rsidR="00000000" w14:paraId="34DA789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795AB7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Alta de la cubierta con sus números de fuego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99E810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686F86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8B4CFC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152934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</w:t>
            </w:r>
          </w:p>
        </w:tc>
      </w:tr>
      <w:tr w:rsidR="00000000" w14:paraId="4BF2D1E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505A39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Ronda mensual de medición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A206BC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E945D1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2855F0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75D180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—</w:t>
            </w:r>
          </w:p>
        </w:tc>
      </w:tr>
      <w:tr w:rsidR="00000000" w14:paraId="5EBFA4A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6B3973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Control de presión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87C2E6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4CCE64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96AE31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A55BCD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—</w:t>
            </w:r>
          </w:p>
        </w:tc>
      </w:tr>
      <w:tr w:rsidR="00000000" w14:paraId="59226C9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1DA5E9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Rotación y alineación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72E1C5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4BFB70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F9CC5C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21AE23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</w:t>
            </w:r>
          </w:p>
        </w:tc>
      </w:tr>
      <w:tr w:rsidR="00000000" w14:paraId="218C706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ABAB6E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lastRenderedPageBreak/>
              <w:t>Envío y recepción de recapados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DC49A5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01F8A2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AC59CF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FE36E3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</w:t>
            </w:r>
          </w:p>
        </w:tc>
      </w:tr>
      <w:tr w:rsidR="00000000" w14:paraId="622D336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C08293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Baja y disposición final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5DF781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ECC8E2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E368B4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34C317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</w:t>
            </w:r>
          </w:p>
        </w:tc>
      </w:tr>
      <w:tr w:rsidR="00000000" w14:paraId="384F1CC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18EAF9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Análisis de desgaste y plan de acción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FB5164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6E116B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9EF02A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70613B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</w:t>
            </w:r>
          </w:p>
        </w:tc>
      </w:tr>
    </w:tbl>
    <w:p w14:paraId="4E10D4CA" w14:textId="77777777" w:rsidR="00E46D44" w:rsidRDefault="00E46D44">
      <w:pPr>
        <w:pStyle w:val="NormalWeb"/>
        <w:rPr>
          <w:rFonts w:ascii="Calibri" w:hAnsi="Calibri" w:cs="Calibri"/>
          <w:color w:val="111111"/>
          <w:sz w:val="20"/>
          <w:szCs w:val="20"/>
        </w:rPr>
      </w:pPr>
      <w:r>
        <w:rPr>
          <w:rFonts w:ascii="Calibri" w:hAnsi="Calibri" w:cs="Calibri"/>
          <w:b/>
          <w:bCs/>
          <w:color w:val="111111"/>
          <w:sz w:val="20"/>
          <w:szCs w:val="20"/>
        </w:rPr>
        <w:t>R</w:t>
      </w:r>
      <w:r>
        <w:rPr>
          <w:rFonts w:ascii="Calibri" w:hAnsi="Calibri" w:cs="Calibri"/>
          <w:color w:val="111111"/>
          <w:sz w:val="20"/>
          <w:szCs w:val="20"/>
        </w:rPr>
        <w:t xml:space="preserve"> el que hace · </w:t>
      </w:r>
      <w:r>
        <w:rPr>
          <w:rFonts w:ascii="Calibri" w:hAnsi="Calibri" w:cs="Calibri"/>
          <w:b/>
          <w:bCs/>
          <w:color w:val="111111"/>
          <w:sz w:val="20"/>
          <w:szCs w:val="20"/>
        </w:rPr>
        <w:t>A</w:t>
      </w:r>
      <w:r>
        <w:rPr>
          <w:rFonts w:ascii="Calibri" w:hAnsi="Calibri" w:cs="Calibri"/>
          <w:color w:val="111111"/>
          <w:sz w:val="20"/>
          <w:szCs w:val="20"/>
        </w:rPr>
        <w:t xml:space="preserve"> el dueño del indicador · </w:t>
      </w:r>
      <w:r>
        <w:rPr>
          <w:rFonts w:ascii="Calibri" w:hAnsi="Calibri" w:cs="Calibri"/>
          <w:b/>
          <w:bCs/>
          <w:color w:val="111111"/>
          <w:sz w:val="20"/>
          <w:szCs w:val="20"/>
        </w:rPr>
        <w:t>C</w:t>
      </w:r>
      <w:r>
        <w:rPr>
          <w:rFonts w:ascii="Calibri" w:hAnsi="Calibri" w:cs="Calibri"/>
          <w:color w:val="111111"/>
          <w:sz w:val="20"/>
          <w:szCs w:val="20"/>
        </w:rPr>
        <w:t xml:space="preserve"> consultado · </w:t>
      </w:r>
      <w:r>
        <w:rPr>
          <w:rFonts w:ascii="Calibri" w:hAnsi="Calibri" w:cs="Calibri"/>
          <w:b/>
          <w:bCs/>
          <w:color w:val="111111"/>
          <w:sz w:val="20"/>
          <w:szCs w:val="20"/>
        </w:rPr>
        <w:t>I</w:t>
      </w:r>
      <w:r>
        <w:rPr>
          <w:rFonts w:ascii="Calibri" w:hAnsi="Calibri" w:cs="Calibri"/>
          <w:color w:val="111111"/>
          <w:sz w:val="20"/>
          <w:szCs w:val="20"/>
        </w:rPr>
        <w:t xml:space="preserve"> informado.</w:t>
      </w:r>
    </w:p>
    <w:p w14:paraId="76C02DEF" w14:textId="77777777" w:rsidR="00E46D44" w:rsidRDefault="00E46D4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Flujograma</w:t>
      </w:r>
    </w:p>
    <w:p w14:paraId="45AF20E3" w14:textId="77777777" w:rsidR="00E46D44" w:rsidRDefault="00E46D4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Alta de la cubierta: se registra con números de fuego, marca, medida, tipo (nueva o recapada) y su dibujo declarado.</w:t>
      </w:r>
    </w:p>
    <w:p w14:paraId="6A8D7011" w14:textId="77777777" w:rsidR="00E46D44" w:rsidRDefault="00E46D4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Montaje en una posición de una unidad.</w:t>
      </w:r>
    </w:p>
    <w:p w14:paraId="4F112094" w14:textId="77777777" w:rsidR="00E46D44" w:rsidRDefault="00E46D4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Ronda mensual: se mide profundidad y presión de cada posición.</w:t>
      </w:r>
    </w:p>
    <w:p w14:paraId="5F1BB6E3" w14:textId="77777777" w:rsidR="00E46D44" w:rsidRDefault="00E46D4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¿Profundidad menor a 5 mm? </w:t>
      </w: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Sí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→ se programa reemplazo o recapado. </w:t>
      </w: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No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→ sigue.</w:t>
      </w:r>
    </w:p>
    <w:p w14:paraId="45441C99" w14:textId="77777777" w:rsidR="00E46D44" w:rsidRDefault="00E46D4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¿Profundidad menor a 3 mm? </w:t>
      </w: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Sí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→ la unidad no sale hasta reemplazarla.</w:t>
      </w:r>
    </w:p>
    <w:p w14:paraId="6109F644" w14:textId="77777777" w:rsidR="00E46D44" w:rsidRDefault="00E46D4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Al desmontar: recapado (vuelve al circuito) o baja (sale como residuo, con certificado).</w:t>
      </w:r>
    </w:p>
    <w:p w14:paraId="563982FE" w14:textId="77777777" w:rsidR="00E46D44" w:rsidRDefault="00E46D4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Cierre mensual: cobertura de la ronda, conformidad, desgaste por unidad y por eje, plan de acción sobre los desvíos.</w:t>
      </w:r>
    </w:p>
    <w:p w14:paraId="77632083" w14:textId="77777777" w:rsidR="00E46D44" w:rsidRDefault="00E46D4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Campo de aplicación</w:t>
      </w:r>
    </w:p>
    <w:p w14:paraId="30E3446A" w14:textId="77777777" w:rsidR="00E46D44" w:rsidRDefault="00E46D44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CD y taller. La medición la hace el operario en el playón, con calibre, unidad por unidad.</w:t>
      </w:r>
    </w:p>
    <w:p w14:paraId="19C4760B" w14:textId="77777777" w:rsidR="00E46D44" w:rsidRDefault="00E46D4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Desarrollo</w:t>
      </w:r>
    </w:p>
    <w:p w14:paraId="20F14E2D" w14:textId="77777777" w:rsidR="00E46D44" w:rsidRDefault="00E46D44">
      <w:pPr>
        <w:pStyle w:val="Ttulo3"/>
        <w:rPr>
          <w:rFonts w:ascii="Calibri" w:eastAsia="Times New Roman" w:hAnsi="Calibri" w:cs="Calibri"/>
          <w:color w:val="111111"/>
        </w:rPr>
      </w:pPr>
      <w:r>
        <w:rPr>
          <w:rFonts w:ascii="Calibri" w:eastAsia="Times New Roman" w:hAnsi="Calibri" w:cs="Calibri"/>
          <w:color w:val="111111"/>
        </w:rPr>
        <w:t>7.1 Alta e identificación</w:t>
      </w:r>
    </w:p>
    <w:p w14:paraId="6450E771" w14:textId="77777777" w:rsidR="00E46D44" w:rsidRDefault="00E46D44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Cada cubierta se da de alta con sus números de fuego, marca, medida y tipo. El dibujo que se carga en el alta es el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declarado del modelo</w:t>
      </w:r>
      <w:r>
        <w:rPr>
          <w:rFonts w:ascii="Calibri" w:hAnsi="Calibri" w:cs="Calibri"/>
          <w:color w:val="111111"/>
          <w:sz w:val="22"/>
          <w:szCs w:val="22"/>
        </w:rPr>
        <w:t>, no una medición: sirve para saber con cuánta goma entró, pero no es un punto de medición contra el cual restar. La app lo distingue explícitamente.</w:t>
      </w:r>
    </w:p>
    <w:p w14:paraId="0ECBC4C1" w14:textId="77777777" w:rsidR="00E46D44" w:rsidRDefault="00E46D44">
      <w:pPr>
        <w:pStyle w:val="Ttulo3"/>
        <w:rPr>
          <w:rFonts w:ascii="Calibri" w:eastAsia="Times New Roman" w:hAnsi="Calibri" w:cs="Calibri"/>
          <w:color w:val="111111"/>
        </w:rPr>
      </w:pPr>
      <w:r>
        <w:rPr>
          <w:rFonts w:ascii="Calibri" w:eastAsia="Times New Roman" w:hAnsi="Calibri" w:cs="Calibri"/>
          <w:color w:val="111111"/>
        </w:rPr>
        <w:t>7.2 Ronda mensual</w:t>
      </w:r>
    </w:p>
    <w:p w14:paraId="3A47C667" w14:textId="77777777" w:rsidR="00E46D44" w:rsidRDefault="00E46D44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Una vez por mes se mide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toda la flota obligada</w:t>
      </w:r>
      <w:r>
        <w:rPr>
          <w:rFonts w:ascii="Calibri" w:hAnsi="Calibri" w:cs="Calibri"/>
          <w:color w:val="111111"/>
          <w:sz w:val="22"/>
          <w:szCs w:val="22"/>
        </w:rPr>
        <w:t>, no una muestra. Por cada posición se registra profundidad y presión.</w:t>
      </w:r>
    </w:p>
    <w:p w14:paraId="6E933049" w14:textId="77777777" w:rsidR="00E46D44" w:rsidRDefault="00E46D44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Siempre el mismo canal</w:t>
      </w:r>
      <w:r>
        <w:rPr>
          <w:rFonts w:ascii="Calibri" w:eastAsia="Times New Roman" w:hAnsi="Calibri" w:cs="Calibri"/>
          <w:color w:val="111111"/>
          <w:sz w:val="22"/>
          <w:szCs w:val="22"/>
        </w:rPr>
        <w:t>, el del centro de la banda. El canal del hombro tiene otra profundidad, y cambiar de canal entre rondas mete una diferencia que después se lee como desgaste.</w:t>
      </w:r>
    </w:p>
    <w:p w14:paraId="1FB05CAE" w14:textId="77777777" w:rsidR="00E46D44" w:rsidRDefault="00E46D44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Nunca sobre el testigo de desgaste</w:t>
      </w:r>
      <w:r>
        <w:rPr>
          <w:rFonts w:ascii="Calibri" w:eastAsia="Times New Roman" w:hAnsi="Calibri" w:cs="Calibri"/>
          <w:color w:val="111111"/>
          <w:sz w:val="22"/>
          <w:szCs w:val="22"/>
        </w:rPr>
        <w:t>: el resalto que aparece cada tanto dentro del canal está a 1,6 mm del fondo, así que apoyar la varilla ahí hace leer unos 2 mm de menos. Como el testigo está en todas las cubiertas, el error se repite en toda la unidad y la ronda entera queda inservible.</w:t>
      </w:r>
    </w:p>
    <w:p w14:paraId="4BE031F0" w14:textId="77777777" w:rsidR="00E46D44" w:rsidRDefault="00E46D44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Calibre</w:t>
      </w:r>
      <w:r>
        <w:rPr>
          <w:rFonts w:ascii="Calibri" w:eastAsia="Times New Roman" w:hAnsi="Calibri" w:cs="Calibri"/>
          <w:color w:val="111111"/>
          <w:sz w:val="22"/>
          <w:szCs w:val="22"/>
        </w:rPr>
        <w:t>, no regla ni estimación visual. Cerrado tiene que marcar 0,00 antes de empezar la ronda; si no, se pone en cero.</w:t>
      </w:r>
    </w:p>
    <w:p w14:paraId="72E89CE6" w14:textId="77777777" w:rsidR="00E46D44" w:rsidRDefault="00E46D44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El </w:t>
      </w: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km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de la medición no se le pide al que mide: lo estampa la app desde el odómetro de las lecturas reales de la unidad, si hay una lectura buena dentro de los 7 días.</w:t>
      </w:r>
    </w:p>
    <w:p w14:paraId="60D82627" w14:textId="77777777" w:rsidR="00E46D44" w:rsidRDefault="00E46D44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lastRenderedPageBreak/>
        <w:t xml:space="preserve">La ronda se carga desde </w:t>
      </w: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Mis neumáticos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(operario) o desde el módulo de Neumáticos (supervisión).</w:t>
      </w:r>
    </w:p>
    <w:p w14:paraId="5F3C9715" w14:textId="77777777" w:rsidR="00E46D44" w:rsidRDefault="00E46D44">
      <w:pPr>
        <w:shd w:val="clear" w:color="auto" w:fill="FFF8E1"/>
        <w:divId w:val="200283450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111111"/>
          <w:sz w:val="20"/>
          <w:szCs w:val="20"/>
        </w:rPr>
        <w:t>Cobertura completa o el dato no sirve:</w:t>
      </w:r>
      <w:r>
        <w:rPr>
          <w:rFonts w:ascii="Calibri" w:eastAsia="Times New Roman" w:hAnsi="Calibri" w:cs="Calibri"/>
          <w:color w:val="111111"/>
          <w:sz w:val="20"/>
          <w:szCs w:val="20"/>
        </w:rPr>
        <w:t xml:space="preserve"> en agosto de 2026 se midieron 5 unidades de 16. Sin la flota completa cada mes no hay con qué comparar, y el desgaste por km no converge nunca. La cobertura de la ronda es, por ahora, el indicador más importante del programa.</w:t>
      </w:r>
    </w:p>
    <w:p w14:paraId="327CF691" w14:textId="77777777" w:rsidR="00E46D44" w:rsidRDefault="00E46D44">
      <w:pPr>
        <w:shd w:val="clear" w:color="auto" w:fill="FFF8E1"/>
        <w:divId w:val="1850756878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111111"/>
          <w:sz w:val="20"/>
          <w:szCs w:val="20"/>
        </w:rPr>
        <w:t>Por qué el punto de apoyo es una regla y no un consejo:</w:t>
      </w:r>
      <w:r>
        <w:rPr>
          <w:rFonts w:ascii="Calibri" w:eastAsia="Times New Roman" w:hAnsi="Calibri" w:cs="Calibri"/>
          <w:color w:val="111111"/>
          <w:sz w:val="20"/>
          <w:szCs w:val="20"/>
        </w:rPr>
        <w:t xml:space="preserve"> </w:t>
      </w:r>
      <w:r>
        <w:rPr>
          <w:rFonts w:ascii="Calibri" w:eastAsia="Times New Roman" w:hAnsi="Calibri" w:cs="Calibri"/>
          <w:color w:val="111111"/>
          <w:sz w:val="20"/>
          <w:szCs w:val="20"/>
        </w:rPr>
        <w:t xml:space="preserve">se descartaron dos rondas enteras por leer bajo, la del 14/09/2026 en cuatro unidades y la del 13/08/2026 en el AE908DH, ésta última hasta 3 mm por debajo de lo real. En los dos casos el instrumento no tuvo nada que ver: un calibre digital se equivoca en centésimas de milímetro, no en milímetros. Lo que mueve milímetros es el punto donde se apoya. Una medición que lee bajo no molesta sólo a esa cubierta: la ronda siguiente parece que la goma creció, el cálculo de desgaste corta el tramo y la cubierta queda </w:t>
      </w:r>
      <w:r>
        <w:rPr>
          <w:rFonts w:ascii="Calibri" w:eastAsia="Times New Roman" w:hAnsi="Calibri" w:cs="Calibri"/>
          <w:color w:val="111111"/>
          <w:sz w:val="20"/>
          <w:szCs w:val="20"/>
        </w:rPr>
        <w:t>sin tasa.</w:t>
      </w:r>
    </w:p>
    <w:p w14:paraId="7F0BEEC4" w14:textId="77777777" w:rsidR="00E46D44" w:rsidRDefault="00E46D44">
      <w:pPr>
        <w:pStyle w:val="Ttulo3"/>
        <w:rPr>
          <w:rFonts w:ascii="Calibri" w:eastAsia="Times New Roman" w:hAnsi="Calibri" w:cs="Calibri"/>
          <w:color w:val="111111"/>
        </w:rPr>
      </w:pPr>
      <w:r>
        <w:rPr>
          <w:rFonts w:ascii="Calibri" w:eastAsia="Times New Roman" w:hAnsi="Calibri" w:cs="Calibri"/>
          <w:color w:val="111111"/>
        </w:rPr>
        <w:t>7.3 Presión</w:t>
      </w:r>
    </w:p>
    <w:p w14:paraId="07D3CA18" w14:textId="77777777" w:rsidR="00E46D44" w:rsidRDefault="00E46D44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Rango de trabajo: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90 a 120 psi</w:t>
      </w:r>
      <w:r>
        <w:rPr>
          <w:rFonts w:ascii="Calibri" w:hAnsi="Calibri" w:cs="Calibri"/>
          <w:color w:val="111111"/>
          <w:sz w:val="22"/>
          <w:szCs w:val="22"/>
        </w:rPr>
        <w:t>. La presión se controla en frío. Una presión baja sostenida se ve después como desgaste en los hombros de la banda; una presión alta, como desgaste en el centro.</w:t>
      </w:r>
    </w:p>
    <w:p w14:paraId="62FCBBFB" w14:textId="77777777" w:rsidR="00E46D44" w:rsidRDefault="00E46D44">
      <w:pPr>
        <w:pStyle w:val="Ttulo3"/>
        <w:rPr>
          <w:rFonts w:ascii="Calibri" w:eastAsia="Times New Roman" w:hAnsi="Calibri" w:cs="Calibri"/>
          <w:color w:val="111111"/>
        </w:rPr>
      </w:pPr>
      <w:r>
        <w:rPr>
          <w:rFonts w:ascii="Calibri" w:eastAsia="Times New Roman" w:hAnsi="Calibri" w:cs="Calibri"/>
          <w:color w:val="111111"/>
        </w:rPr>
        <w:t>7.4 Rotación y alineación</w:t>
      </w:r>
    </w:p>
    <w:p w14:paraId="14C46E0B" w14:textId="77777777" w:rsidR="00E46D44" w:rsidRDefault="00E46D44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La rotación se programa según el desgaste medido, no por calendario fijo. Se dispara cuando dos cubiertas del mismo eje muestran tasas de desgaste distintas entre sí por encima del 40 %: eso no es la goma, es alineación, presión o carga. La alineación se verifica al reemplazar cubiertas de dirección y ante cualquier desgaste irregular.</w:t>
      </w:r>
    </w:p>
    <w:p w14:paraId="4EBE5803" w14:textId="77777777" w:rsidR="00E46D44" w:rsidRDefault="00E46D44">
      <w:pPr>
        <w:pStyle w:val="Ttulo3"/>
        <w:rPr>
          <w:rFonts w:ascii="Calibri" w:eastAsia="Times New Roman" w:hAnsi="Calibri" w:cs="Calibri"/>
          <w:color w:val="111111"/>
        </w:rPr>
      </w:pPr>
      <w:r>
        <w:rPr>
          <w:rFonts w:ascii="Calibri" w:eastAsia="Times New Roman" w:hAnsi="Calibri" w:cs="Calibri"/>
          <w:color w:val="111111"/>
        </w:rPr>
        <w:t>7.5 Recapado</w:t>
      </w:r>
    </w:p>
    <w:p w14:paraId="774357E2" w14:textId="77777777" w:rsidR="00E46D44" w:rsidRDefault="00E46D44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Se envía a recapar la cubierta que llega al nivel de alerta con la carcasa en condiciones. Se registra el remito de envío, y al volver se registra el retorno con el dibujo declarado por el recapador. Ese valor también es nominal, no medido.</w:t>
      </w:r>
    </w:p>
    <w:p w14:paraId="6D8F6F69" w14:textId="77777777" w:rsidR="00E46D44" w:rsidRDefault="00E46D44">
      <w:pPr>
        <w:pStyle w:val="Ttulo3"/>
        <w:rPr>
          <w:rFonts w:ascii="Calibri" w:eastAsia="Times New Roman" w:hAnsi="Calibri" w:cs="Calibri"/>
          <w:color w:val="111111"/>
        </w:rPr>
      </w:pPr>
      <w:r>
        <w:rPr>
          <w:rFonts w:ascii="Calibri" w:eastAsia="Times New Roman" w:hAnsi="Calibri" w:cs="Calibri"/>
          <w:color w:val="111111"/>
        </w:rPr>
        <w:t>7.6 Baja y disposición</w:t>
      </w:r>
    </w:p>
    <w:p w14:paraId="32B20828" w14:textId="77777777" w:rsidR="00E46D44" w:rsidRDefault="00E46D44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La cubierta que llega al mínimo o presenta daño estructural se da de baja con su comprobante y sale por el circuito de residuos, con certificado de disposición final y sus números de fuego. Ver el SOP de Disposición de Residuos de Mantenimiento (1.4).</w:t>
      </w:r>
    </w:p>
    <w:p w14:paraId="72EFA77E" w14:textId="77777777" w:rsidR="00E46D44" w:rsidRDefault="00E46D44">
      <w:pPr>
        <w:pStyle w:val="Ttulo3"/>
        <w:rPr>
          <w:rFonts w:ascii="Calibri" w:eastAsia="Times New Roman" w:hAnsi="Calibri" w:cs="Calibri"/>
          <w:color w:val="111111"/>
        </w:rPr>
      </w:pPr>
      <w:r>
        <w:rPr>
          <w:rFonts w:ascii="Calibri" w:eastAsia="Times New Roman" w:hAnsi="Calibri" w:cs="Calibri"/>
          <w:color w:val="111111"/>
        </w:rPr>
        <w:t>7.7 Desgaste por km</w:t>
      </w:r>
    </w:p>
    <w:p w14:paraId="6EF9791E" w14:textId="77777777" w:rsidR="00E46D44" w:rsidRDefault="00E46D44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La tasa se calcula sobre las mediciones de ronda, ajustando una recta sobre todos los puntos del tramo de vida vigente. Se lee a dos niveles:</w:t>
      </w:r>
    </w:p>
    <w:p w14:paraId="73A866E9" w14:textId="77777777" w:rsidR="00E46D44" w:rsidRDefault="00E46D44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Por unidad y eje</w:t>
      </w:r>
      <w:r>
        <w:rPr>
          <w:rFonts w:ascii="Calibri" w:eastAsia="Times New Roman" w:hAnsi="Calibri" w:cs="Calibri"/>
          <w:color w:val="111111"/>
          <w:sz w:val="22"/>
          <w:szCs w:val="22"/>
        </w:rPr>
        <w:t>: junta los puntos de las cubiertas del eje, converge antes y es el número que se usa para decidir.</w:t>
      </w:r>
    </w:p>
    <w:p w14:paraId="1E80F1F5" w14:textId="77777777" w:rsidR="00E46D44" w:rsidRDefault="00E46D44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Por cubierta</w:t>
      </w:r>
      <w:r>
        <w:rPr>
          <w:rFonts w:ascii="Calibri" w:eastAsia="Times New Roman" w:hAnsi="Calibri" w:cs="Calibri"/>
          <w:color w:val="111111"/>
          <w:sz w:val="22"/>
          <w:szCs w:val="22"/>
        </w:rPr>
        <w:t>: sirve para detectar la que se sale del promedio de sus pares.</w:t>
      </w:r>
    </w:p>
    <w:p w14:paraId="53CEFA7A" w14:textId="77777777" w:rsidR="00E46D44" w:rsidRDefault="00E46D44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Con dos rondas la tasa todavía no significa nada: la dispersión del calibre es más grande que el desgaste de un mes. Se necesitan entre 5 y 8 rondas mensuales seguidas con la flota completa para que el número sea utilizable.</w:t>
      </w:r>
    </w:p>
    <w:p w14:paraId="466BF62F" w14:textId="77777777" w:rsidR="00E46D44" w:rsidRDefault="00E46D4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Control e indicadores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6"/>
        <w:gridCol w:w="3248"/>
        <w:gridCol w:w="1739"/>
        <w:gridCol w:w="1075"/>
      </w:tblGrid>
      <w:tr w:rsidR="00000000" w14:paraId="5645094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D03713" w14:textId="77777777" w:rsidR="00E46D44" w:rsidRDefault="00E46D44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Indicador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DDB11C" w14:textId="77777777" w:rsidR="00E46D44" w:rsidRDefault="00E46D44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Cálculo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E07DE1" w14:textId="77777777" w:rsidR="00E46D44" w:rsidRDefault="00E46D44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Meta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49DA36" w14:textId="77777777" w:rsidR="00E46D44" w:rsidRDefault="00E46D44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Frecuencia</w:t>
            </w:r>
          </w:p>
        </w:tc>
      </w:tr>
      <w:tr w:rsidR="00000000" w14:paraId="1C847DF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82DE50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Medición de neumáticos (cobertura)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9768E6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Cubiertas medidas en el mes ÷ cubiertas instaladas obligadas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9FFE1F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100 %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E4B86F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Mensual</w:t>
            </w:r>
          </w:p>
        </w:tc>
      </w:tr>
      <w:tr w:rsidR="00000000" w14:paraId="25BF650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E198D8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Conformidad de neumáticos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B152B6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Cubiertas medidas dentro de norma ÷ cubiertas medidas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BEEB75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100 %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5BAB17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Mensual</w:t>
            </w:r>
          </w:p>
        </w:tc>
      </w:tr>
      <w:tr w:rsidR="00000000" w14:paraId="3F8B3BB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947971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Desgaste por 1.000 km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03B618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Pendiente de la recta ajustada sobre las rondas, por unidad y eje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6DB2F3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 definir cuando haya 5 rondas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76F46A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Mensual</w:t>
            </w:r>
          </w:p>
        </w:tc>
      </w:tr>
      <w:tr w:rsidR="00000000" w14:paraId="564DB62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7E673E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Cubiertas fuera del promedio de sus pares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4BA339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Cubiertas con desvío mayor a 40 % contra su unidad+eje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C17230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4662EA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Mensual</w:t>
            </w:r>
          </w:p>
        </w:tc>
      </w:tr>
    </w:tbl>
    <w:p w14:paraId="7E51B57B" w14:textId="77777777" w:rsidR="00E46D44" w:rsidRDefault="00E46D4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Registros</w:t>
      </w:r>
    </w:p>
    <w:p w14:paraId="1FAC1C2F" w14:textId="77777777" w:rsidR="00E46D44" w:rsidRDefault="00E46D44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Inventario de cubiertas con números de fuego, posición y estado (app).</w:t>
      </w:r>
    </w:p>
    <w:p w14:paraId="28C1EB27" w14:textId="77777777" w:rsidR="00E46D44" w:rsidRDefault="00E46D44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Mediciones por ronda, con profundidad, presión y km (app, permanente).</w:t>
      </w:r>
    </w:p>
    <w:p w14:paraId="3266F3DC" w14:textId="77777777" w:rsidR="00E46D44" w:rsidRDefault="00E46D44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Remitos de recapado y comprobantes de baja (app).</w:t>
      </w:r>
    </w:p>
    <w:p w14:paraId="32A61DB5" w14:textId="77777777" w:rsidR="00E46D44" w:rsidRDefault="00E46D44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Certificados de disposición final (app, solapa Residuos).</w:t>
      </w:r>
    </w:p>
    <w:p w14:paraId="29CE79FA" w14:textId="77777777" w:rsidR="00E46D44" w:rsidRDefault="00E46D4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Control de revisiones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1231"/>
        <w:gridCol w:w="659"/>
        <w:gridCol w:w="4999"/>
        <w:gridCol w:w="1146"/>
      </w:tblGrid>
      <w:tr w:rsidR="00000000" w14:paraId="2E9E01A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2A41C3" w14:textId="77777777" w:rsidR="00E46D44" w:rsidRDefault="00E46D44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N.º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29BCCA" w14:textId="77777777" w:rsidR="00E46D44" w:rsidRDefault="00E46D44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3C8167" w14:textId="77777777" w:rsidR="00E46D44" w:rsidRDefault="00E46D44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Cargo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3D152D" w14:textId="77777777" w:rsidR="00E46D44" w:rsidRDefault="00E46D44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622122" w14:textId="77777777" w:rsidR="00E46D44" w:rsidRDefault="00E46D44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Fecha</w:t>
            </w:r>
          </w:p>
        </w:tc>
      </w:tr>
      <w:tr w:rsidR="00000000" w14:paraId="58A986D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B11CBB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A82851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1FAB54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SDF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FC91C1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Elaboración del procedimiento (borrador)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706398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25/08/2026</w:t>
            </w:r>
          </w:p>
        </w:tc>
      </w:tr>
      <w:tr w:rsidR="00000000" w14:paraId="0261BE6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A626DD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2DE0CC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15DD55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SDF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D8DCF2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Punto de apoyo del calibre en 7.2: canal del centro, nunca sobre el testigo de desgaste, y verificación del cero. Se agrega la nota con las dos rondas descartadas por leer bajo.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A10C4E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21/10/2026</w:t>
            </w:r>
          </w:p>
        </w:tc>
      </w:tr>
      <w:tr w:rsidR="00000000" w14:paraId="0F8DFF1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D1C2B0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26DB44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B69DE3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D3F3AB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37B7AB" w14:textId="77777777" w:rsidR="00E46D44" w:rsidRDefault="00E46D44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 </w:t>
            </w:r>
          </w:p>
        </w:tc>
      </w:tr>
    </w:tbl>
    <w:p w14:paraId="557F6194" w14:textId="77777777" w:rsidR="00E46D44" w:rsidRDefault="00E46D44">
      <w:pPr>
        <w:rPr>
          <w:rFonts w:eastAsia="Times New Roman"/>
        </w:rPr>
      </w:pPr>
    </w:p>
    <w:sectPr w:rsidR="000000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F2007"/>
    <w:multiLevelType w:val="multilevel"/>
    <w:tmpl w:val="D024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8D6727"/>
    <w:multiLevelType w:val="multilevel"/>
    <w:tmpl w:val="57D4F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065FDB"/>
    <w:multiLevelType w:val="multilevel"/>
    <w:tmpl w:val="1D88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335EBC"/>
    <w:multiLevelType w:val="multilevel"/>
    <w:tmpl w:val="39D6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327872">
    <w:abstractNumId w:val="1"/>
  </w:num>
  <w:num w:numId="2" w16cid:durableId="1991521393">
    <w:abstractNumId w:val="3"/>
  </w:num>
  <w:num w:numId="3" w16cid:durableId="795609930">
    <w:abstractNumId w:val="2"/>
  </w:num>
  <w:num w:numId="4" w16cid:durableId="849947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D44"/>
    <w:rsid w:val="009133EC"/>
    <w:rsid w:val="00E4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6CDAD1E"/>
  <w15:chartTrackingRefBased/>
  <w15:docId w15:val="{8A0F84D7-87A1-4933-9049-50E3585F3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3" w:color="333333"/>
      </w:pBdr>
      <w:spacing w:before="100" w:beforeAutospacing="1" w:after="100" w:afterAutospacing="1"/>
      <w:outlineLvl w:val="0"/>
    </w:pPr>
    <w:rPr>
      <w:b/>
      <w:bCs/>
      <w:kern w:val="36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pPr>
      <w:spacing w:before="270" w:after="100" w:afterAutospacing="1"/>
      <w:outlineLvl w:val="1"/>
    </w:pPr>
    <w:rPr>
      <w:b/>
      <w:bCs/>
      <w:caps/>
      <w:color w:val="1F4E79"/>
      <w:sz w:val="25"/>
      <w:szCs w:val="25"/>
    </w:rPr>
  </w:style>
  <w:style w:type="paragraph" w:styleId="Ttulo3">
    <w:name w:val="heading 3"/>
    <w:basedOn w:val="Normal"/>
    <w:link w:val="Ttulo3Car"/>
    <w:uiPriority w:val="9"/>
    <w:qFormat/>
    <w:pPr>
      <w:spacing w:before="180" w:after="100" w:afterAutospacing="1"/>
      <w:outlineLvl w:val="2"/>
    </w:pPr>
    <w:rPr>
      <w:b/>
      <w:bCs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a">
    <w:name w:val="nota"/>
    <w:basedOn w:val="Normal"/>
    <w:pPr>
      <w:pBdr>
        <w:left w:val="single" w:sz="18" w:space="8" w:color="E0A800"/>
      </w:pBdr>
      <w:shd w:val="clear" w:color="auto" w:fill="FFF8E1"/>
      <w:spacing w:before="100" w:beforeAutospacing="1" w:after="100" w:afterAutospacing="1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283450">
      <w:marLeft w:val="0"/>
      <w:marRight w:val="0"/>
      <w:marTop w:val="0"/>
      <w:marBottom w:val="0"/>
      <w:divBdr>
        <w:top w:val="none" w:sz="0" w:space="0" w:color="auto"/>
        <w:left w:val="single" w:sz="18" w:space="8" w:color="E0A800"/>
        <w:bottom w:val="none" w:sz="0" w:space="0" w:color="auto"/>
        <w:right w:val="none" w:sz="0" w:space="0" w:color="auto"/>
      </w:divBdr>
    </w:div>
    <w:div w:id="1850756878">
      <w:marLeft w:val="0"/>
      <w:marRight w:val="0"/>
      <w:marTop w:val="0"/>
      <w:marBottom w:val="0"/>
      <w:divBdr>
        <w:top w:val="none" w:sz="0" w:space="0" w:color="auto"/>
        <w:left w:val="single" w:sz="18" w:space="8" w:color="E0A80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1151</Words>
  <Characters>6336</Characters>
  <Application>Microsoft Office Word</Application>
  <DocSecurity>4</DocSecurity>
  <Lines>52</Lines>
  <Paragraphs>14</Paragraphs>
  <ScaleCrop>false</ScaleCrop>
  <Company/>
  <LinksUpToDate>false</LinksUpToDate>
  <CharactersWithSpaces>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- Politicas y Gestion de Neumaticos</dc:title>
  <dc:subject/>
  <dc:creator>Fausto Azzaretti</dc:creator>
  <cp:keywords/>
  <dc:description/>
  <cp:lastModifiedBy>Fausto Azzaretti</cp:lastModifiedBy>
  <cp:revision>2</cp:revision>
  <dcterms:created xsi:type="dcterms:W3CDTF">2026-10-21T18:00:00Z</dcterms:created>
  <dcterms:modified xsi:type="dcterms:W3CDTF">2026-10-21T18:00:00Z</dcterms:modified>
</cp:coreProperties>
</file>