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lang w:val="es-PE"/>
        </w:rPr>
        <w:t xml:space="preserve">MANUAL DE USUARIO</w:t>
      </w:r>
      <w:r>
        <w:rPr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Mesa de Partes Virtual</w:t>
      </w:r>
      <w:r>
        <w:rPr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ÍNDICE</w:t>
      </w:r>
      <w:r>
        <w:rPr>
          <w:lang w:val="es-P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Acceso a la Plataforma</w:t>
      </w:r>
      <w:r>
        <w:rPr>
          <w:lang w:val="es-P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Página de Inicio</w:t>
      </w:r>
      <w:r>
        <w:rPr>
          <w:lang w:val="es-P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Registro como Persona Natural</w:t>
      </w:r>
      <w:r>
        <w:rPr>
          <w:lang w:val="es-P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Registro como Persona Jurídica</w:t>
      </w:r>
      <w:r>
        <w:rPr>
          <w:lang w:val="es-P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Confirmación de Envío</w:t>
      </w:r>
      <w:r>
        <w:rPr>
          <w:lang w:val="es-P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Requisitos y Validaciones</w:t>
      </w:r>
      <w:r>
        <w:rPr>
          <w:lang w:val="es-P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Preguntas Frecuentes</w:t>
      </w:r>
      <w:r>
        <w:rPr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1. Acceso a la Plataforma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La Mesa de Partes Virtual permite la presentación de documentos de manera digital, disponible las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24 horas del día, los 7 días de la semana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, a través de navegadores web como Google Chrome, Mozilla Firefox o Microsoft Edge.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URL de acceso:</w:t>
      </w:r>
      <w:hyperlink r:id="rId9" w:tooltip="http://sgd.emapat.com.pe:4200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  <w:lang w:val="es-ES"/>
          </w:rPr>
          <w:t xml:space="preserve"> </w:t>
        </w:r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Mesa de partes virtual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</w:r>
      <w:r>
        <w:rPr>
          <w:lang w:val="es-PE" w:bidi="es-PE"/>
        </w:rPr>
      </w:r>
      <w:r>
        <w:rPr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2. Página de Inicio</w:t>
      </w:r>
      <w:r>
        <w:rPr>
          <w:rFonts w:ascii="Times New Roman" w:hAnsi="Times New Roman" w:eastAsia="Times New Roman" w:cs="Times New Roman"/>
          <w:b/>
          <w:color w:val="000000"/>
          <w:sz w:val="36"/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36"/>
          <w:lang w:val="es-PE"/>
        </w:rPr>
      </w:r>
    </w:p>
    <w:p>
      <w:pPr>
        <w:pBdr/>
        <w:spacing/>
        <w:ind/>
        <w:rPr>
          <w:highlight w:val="none"/>
          <w:lang w:val="es-PE"/>
        </w:rPr>
      </w:pPr>
      <w:r>
        <w:rPr>
          <w:lang w:val="es-PE"/>
        </w:rPr>
      </w:r>
      <w:r>
        <w:rPr>
          <w:lang w:val="es-P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447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903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944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1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es-PE"/>
        </w:rPr>
      </w:r>
      <w:r>
        <w:rPr>
          <w:lang w:val="es-PE"/>
        </w:rPr>
      </w:r>
    </w:p>
    <w:p>
      <w:pPr>
        <w:pBdr/>
        <w:spacing/>
        <w:ind/>
        <w:rPr>
          <w:lang w:val="es-PE"/>
        </w:rPr>
      </w:pPr>
      <w:r>
        <w:rPr>
          <w:highlight w:val="none"/>
          <w:lang w:val="es-PE" w:bidi="es-PE"/>
        </w:rPr>
      </w:r>
      <w:r>
        <w:rPr>
          <w:highlight w:val="none"/>
          <w:lang w:val="es-PE" w:bidi="es-PE"/>
        </w:rPr>
      </w:r>
      <w:r>
        <w:rPr>
          <w:highlight w:val="none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Al ingresar al sistema, se visualizará la pantalla principal con las siguientes características: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lang w:val="es-PE" w:bidi="es-PE"/>
        </w:rPr>
      </w:r>
      <w:r>
        <w:rPr>
          <w:lang w:val="es-PE"/>
        </w:rPr>
      </w:r>
      <w:r>
        <w:rPr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Título principal: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Mesa de Partes Virtual </w:t>
      </w:r>
      <w:r>
        <w:rPr>
          <w:lang w:val="es-P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Subtítulo: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Presenta tus documentos de forma segura y rápida </w:t>
      </w:r>
      <w:r>
        <w:rPr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Horarios de atención</w:t>
      </w:r>
      <w:r>
        <w:rPr>
          <w:lang w:val="es-PE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Documentos enviados entre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00:00 y 23:59 horas en día hábil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→ se registran el mismo día. </w:t>
      </w:r>
      <w:r>
        <w:rPr>
          <w:lang w:val="es-PE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Documentos enviados en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días no hábiles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→ se registran el siguiente día hábil. </w:t>
      </w:r>
      <w:r>
        <w:rPr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Términos y condiciones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Antes de continuar, el usuario debe:</w:t>
      </w:r>
      <w:r>
        <w:rPr>
          <w:lang w:val="es-PE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Marcar la opción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“He leído y acepto los términos y condiciones”</w:t>
      </w:r>
      <w:r>
        <w:rPr>
          <w:lang w:val="es-PE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Leer el documento emergente</w:t>
      </w:r>
      <w:r>
        <w:rPr>
          <w:lang w:val="es-PE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Presionar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“Aceptar y Continuar”</w:t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 w:bidi="es-P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258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932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3599" cy="3625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85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  <w:lang w:val="es-PE"/>
        </w:rPr>
      </w:pP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  <w:lang w:val="es-PE"/>
        </w:rPr>
      </w:pP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 w:bidi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Tipos de usuario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El sistema permite elegir:</w:t>
      </w:r>
      <w:r>
        <w:rPr>
          <w:lang w:val="es-PE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Persona Natural</w:t>
      </w:r>
      <w:r>
        <w:rPr>
          <w:lang w:val="es-PE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Persona Jurídica</w:t>
      </w:r>
      <w:r>
        <w:rPr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3. Registro como Persona Natural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El proceso consta de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3 pasos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:</w:t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 w:bidi="es-P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392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6836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4839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81.0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Paso 1: Datos Personales</w:t>
      </w:r>
      <w:r>
        <w:rPr>
          <w:lang w:val="es-P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Validación de identidad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Tipo de documento: </w:t>
      </w:r>
      <w:r>
        <w:rPr>
          <w:lang w:val="es-PE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DNI</w:t>
      </w:r>
      <w:r>
        <w:rPr>
          <w:lang w:val="es-PE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Carné de Extranjería</w:t>
      </w:r>
      <w:r>
        <w:rPr>
          <w:lang w:val="es-PE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Ingreso del número de documento</w:t>
      </w:r>
      <w:r>
        <w:rPr>
          <w:lang w:val="es-PE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Botón: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Validar documento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Si el sistema encuentra los datos, se completarán automáticamente.</w:t>
      </w:r>
      <w:r>
        <w:rPr>
          <w:lang w:val="es-P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Datos del solicitante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Campos obligatorios:</w:t>
      </w:r>
      <w:r>
        <w:rPr>
          <w:lang w:val="es-PE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Apellidos y nombres</w:t>
      </w:r>
      <w:r>
        <w:rPr>
          <w:lang w:val="es-PE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Ubigeo (búsqueda automática)</w:t>
      </w:r>
      <w:r>
        <w:rPr>
          <w:lang w:val="es-PE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Dirección</w:t>
      </w:r>
      <w:r>
        <w:rPr>
          <w:lang w:val="es-PE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Celular</w:t>
      </w:r>
      <w:r>
        <w:rPr>
          <w:lang w:val="es-PE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Correo electrónico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Botón: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Siguiente</w:t>
      </w:r>
      <w:r>
        <w:rPr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Paso 2: Documentos</w:t>
      </w:r>
      <w:r>
        <w:rPr>
          <w:rFonts w:ascii="Times New Roman" w:hAnsi="Times New Roman" w:eastAsia="Times New Roman" w:cs="Times New Roman"/>
          <w:sz w:val="28"/>
          <w:lang w:val="es-PE"/>
        </w:rPr>
      </w:r>
    </w:p>
    <w:p>
      <w:pPr>
        <w:pBdr/>
        <w:spacing/>
        <w:ind/>
        <w:rPr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435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0275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4443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49.8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w:rPr>
          <w:lang w:val="es-PE"/>
        </w:rPr>
      </w:r>
      <w:r>
        <w:rPr>
          <w:lang w:val="es-PE"/>
        </w:rPr>
      </w:r>
    </w:p>
    <w:p>
      <w:pPr>
        <w:pBdr/>
        <w:spacing/>
        <w:ind/>
        <w:rPr>
          <w:lang w:val="es-PE"/>
        </w:rPr>
      </w:pPr>
      <w:r>
        <w:rPr>
          <w:highlight w:val="none"/>
          <w:lang w:val="es-PE" w:bidi="es-PE"/>
        </w:rPr>
      </w:r>
      <w:r>
        <w:rPr>
          <w:highlight w:val="none"/>
          <w:lang w:val="es-PE" w:bidi="es-PE"/>
        </w:rPr>
      </w:r>
      <w:r>
        <w:rPr>
          <w:highlight w:val="none"/>
          <w:lang w:val="es-P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Datos del documento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Tipo de documento</w:t>
      </w:r>
      <w:r>
        <w:rPr>
          <w:lang w:val="es-PE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Asunto</w:t>
      </w:r>
      <w:r>
        <w:rPr>
          <w:lang w:val="es-PE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Número de documento</w:t>
      </w:r>
      <w:r>
        <w:rPr>
          <w:lang w:val="es-P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Archivo principal</w:t>
      </w:r>
      <w:r>
        <w:rPr>
          <w:lang w:val="es-PE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Formato: PDF</w:t>
      </w:r>
      <w:r>
        <w:rPr>
          <w:lang w:val="es-PE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Tamaño máximo: 30 MB</w:t>
      </w:r>
      <w:r>
        <w:rPr>
          <w:lang w:val="es-P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Anexos (opcional)</w:t>
      </w:r>
      <w:r>
        <w:rPr>
          <w:lang w:val="es-PE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Múltiples archivos</w:t>
      </w:r>
      <w:r>
        <w:rPr>
          <w:lang w:val="es-PE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Tamaño máximo total: 450 MB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Botón: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Siguiente</w:t>
      </w:r>
      <w:r>
        <w:rPr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Paso 3: Final</w:t>
      </w:r>
      <w:r>
        <w:rPr>
          <w:rFonts w:ascii="Times New Roman" w:hAnsi="Times New Roman" w:eastAsia="Times New Roman" w:cs="Times New Roman"/>
          <w:sz w:val="28"/>
          <w:lang w:val="es-PE"/>
        </w:rPr>
      </w:r>
    </w:p>
    <w:p>
      <w:pPr>
        <w:pBdr/>
        <w:spacing/>
        <w:ind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7744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959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377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87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w:rPr>
          <w:rFonts w:ascii="Times New Roman" w:hAnsi="Times New Roman" w:eastAsia="Times New Roman" w:cs="Times New Roman"/>
          <w:sz w:val="28"/>
          <w:lang w:val="es-PE" w:bidi="es-PE"/>
        </w:rPr>
      </w:r>
      <w:r>
        <w:rPr>
          <w:lang w:val="es-PE"/>
        </w:rPr>
      </w:r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Verificación de datos ingresados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w:rPr>
          <w:lang w:val="es-PE"/>
        </w:rPr>
      </w:r>
      <w:r>
        <w:rPr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Opción de regresar con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“Atrás”</w:t>
      </w:r>
      <w:r>
        <w:rPr>
          <w:lang w:val="es-PE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Botón: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Finalizar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Durante el proceso se mostrará el mensaje: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“Guardando expediente…”</w:t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es-PE"/>
        </w:rPr>
      </w:pP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es-PE"/>
        </w:rPr>
      </w:pP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4. Registro como Persona Jurídica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El proceso también consta de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3 pasos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:</w:t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Paso 1: Datos de la Empresa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s-PE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s-PE" w:bidi="es-P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0387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376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4803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78.2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24"/>
          <w:highlight w:val="none"/>
          <w:lang w:val="es-P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Validación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24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24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Tipo de documento: RUC</w:t>
      </w:r>
      <w:r>
        <w:rPr>
          <w:lang w:val="es-PE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Ingreso de RUC (11 dígitos)</w:t>
      </w:r>
      <w:r>
        <w:rPr>
          <w:lang w:val="es-PE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Botón: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Validar documento</w:t>
      </w:r>
      <w:r>
        <w:rPr>
          <w:lang w:val="es-P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Datos de la empresa</w:t>
      </w:r>
      <w:r>
        <w:rPr>
          <w:lang w:val="es-PE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Razón social</w:t>
      </w:r>
      <w:r>
        <w:rPr>
          <w:lang w:val="es-PE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Ubigeo</w:t>
      </w:r>
      <w:r>
        <w:rPr>
          <w:lang w:val="es-PE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Dirección</w:t>
      </w:r>
      <w:r>
        <w:rPr>
          <w:lang w:val="es-PE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Celular</w:t>
      </w:r>
      <w:r>
        <w:rPr>
          <w:lang w:val="es-PE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Correo electrónico</w:t>
      </w:r>
      <w:r>
        <w:rPr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Paso 2: Documentos</w:t>
      </w:r>
      <w:r>
        <w:rPr>
          <w:rFonts w:ascii="Times New Roman" w:hAnsi="Times New Roman" w:eastAsia="Times New Roman" w:cs="Times New Roman"/>
          <w:sz w:val="28"/>
          <w:lang w:val="es-PE"/>
        </w:rPr>
      </w:r>
    </w:p>
    <w:p>
      <w:pPr>
        <w:pBdr/>
        <w:spacing/>
        <w:ind/>
        <w:rPr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800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80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280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37.0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w:rPr>
          <w:lang w:val="es-PE"/>
        </w:rPr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Igual que Persona Natural: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highlight w:val="none"/>
          <w:lang w:val="es-PE" w:bidi="es-PE"/>
        </w:rPr>
      </w:r>
      <w:r>
        <w:rPr>
          <w:highlight w:val="none"/>
          <w:lang w:val="es-PE" w:bidi="es-PE"/>
        </w:rPr>
      </w:r>
      <w:r>
        <w:rPr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Tipo de documento</w:t>
      </w:r>
      <w:r>
        <w:rPr>
          <w:lang w:val="es-PE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Asunto</w:t>
      </w:r>
      <w:r>
        <w:rPr>
          <w:lang w:val="es-PE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Número</w:t>
      </w:r>
      <w:r>
        <w:rPr>
          <w:lang w:val="es-PE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Archivo PDF</w:t>
      </w:r>
      <w:r>
        <w:rPr>
          <w:lang w:val="es-PE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Anexos</w:t>
      </w:r>
      <w:r>
        <w:rPr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Paso 3: Final</w:t>
      </w:r>
      <w:r>
        <w:rPr>
          <w:rFonts w:ascii="Times New Roman" w:hAnsi="Times New Roman" w:eastAsia="Times New Roman" w:cs="Times New Roman"/>
          <w:sz w:val="28"/>
          <w:lang w:val="es-PE"/>
        </w:rPr>
      </w:r>
    </w:p>
    <w:p>
      <w:pPr>
        <w:pBdr/>
        <w:spacing/>
        <w:ind/>
        <w:rPr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1921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354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219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74.7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  <w:lang w:val="es-PE" w:bidi="es-PE"/>
        </w:rPr>
      </w:r>
      <w:r>
        <w:rPr>
          <w:lang w:val="es-PE"/>
        </w:rPr>
      </w:r>
      <w:r>
        <w:rPr>
          <w:lang w:val="es-PE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Validación de datos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highlight w:val="none"/>
          <w:lang w:val="es-PE" w:bidi="es-PE"/>
        </w:rPr>
      </w:r>
      <w:r>
        <w:rPr>
          <w:highlight w:val="none"/>
          <w:lang w:val="es-PE" w:bidi="es-PE"/>
        </w:rPr>
      </w:r>
      <w:r>
        <w:rPr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Botón: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Finalizar</w:t>
      </w:r>
      <w:r>
        <w:rPr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5. Confirmación de Envío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Al completar el proceso:</w:t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</w:r>
      <w:r>
        <w:rPr>
          <w:lang w:val="es-PE"/>
        </w:rPr>
      </w:r>
      <w:r>
        <w:rPr>
          <w:rFonts w:ascii="Times New Roman" w:hAnsi="Times New Roman" w:eastAsia="Times New Roman" w:cs="Times New Roman"/>
          <w:sz w:val="24"/>
          <w:lang w:val="es-PE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Mensaje: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“Documento registrado exitosamente”</w:t>
      </w:r>
      <w:r>
        <w:rPr>
          <w:lang w:val="es-PE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El usuario recibirá un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correo electrónico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con el número de expediente. </w:t>
      </w:r>
      <w:r>
        <w:rPr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6. Requisitos y Validaciones</w:t>
      </w:r>
      <w:r>
        <w:rPr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Formatos permitidos</w:t>
      </w:r>
      <w:r>
        <w:rPr>
          <w:lang w:val="es-P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33"/>
        <w:gridCol w:w="893"/>
        <w:gridCol w:w="8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s-PE"/>
              </w:rPr>
              <w:t xml:space="preserve">Elemento</w:t>
            </w:r>
            <w:r>
              <w:rPr>
                <w:lang w:val="es-P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s-PE"/>
              </w:rPr>
              <w:t xml:space="preserve">Formato</w:t>
            </w:r>
            <w:r>
              <w:rPr>
                <w:lang w:val="es-P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s-PE"/>
              </w:rPr>
              <w:t xml:space="preserve">Tamaño</w:t>
            </w:r>
            <w:r>
              <w:rPr>
                <w:lang w:val="es-PE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PE"/>
              </w:rPr>
              <w:t xml:space="preserve">Documento principal</w:t>
            </w:r>
            <w:r>
              <w:rPr>
                <w:lang w:val="es-P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PE"/>
              </w:rPr>
              <w:t xml:space="preserve">PDF</w:t>
            </w:r>
            <w:r>
              <w:rPr>
                <w:lang w:val="es-P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PE"/>
              </w:rPr>
              <w:t xml:space="preserve">30 MB</w:t>
            </w:r>
            <w:r>
              <w:rPr>
                <w:lang w:val="es-PE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PE"/>
              </w:rPr>
              <w:t xml:space="preserve">Anexos</w:t>
            </w:r>
            <w:r>
              <w:rPr>
                <w:lang w:val="es-P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PE"/>
              </w:rPr>
              <w:t xml:space="preserve">Varios</w:t>
            </w:r>
            <w:r>
              <w:rPr>
                <w:lang w:val="es-P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lang w:val="es-P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PE"/>
              </w:rPr>
              <w:t xml:space="preserve">450 MB</w:t>
            </w:r>
            <w:r>
              <w:rPr>
                <w:lang w:val="es-PE"/>
              </w:rPr>
            </w:r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Campos obligatorios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Todos los campos con </w:t>
      </w:r>
      <w:r>
        <w:rPr>
          <w:rFonts w:ascii="Times New Roman" w:hAnsi="Times New Roman" w:eastAsia="Times New Roman" w:cs="Times New Roman"/>
          <w:color w:val="c00000"/>
          <w:sz w:val="24"/>
          <w:lang w:val="es-PE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son obligatorios.</w:t>
      </w:r>
      <w:r>
        <w:rPr>
          <w:lang w:val="es-P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s-PE"/>
        </w:rPr>
        <w:t xml:space="preserve">Errores comunes</w:t>
      </w:r>
      <w:r>
        <w:rPr>
          <w:lang w:val="es-PE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Archivo no PDF</w:t>
      </w:r>
      <w:r>
        <w:rPr>
          <w:lang w:val="es-PE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Tamaño excedido</w:t>
      </w:r>
      <w:r>
        <w:rPr>
          <w:lang w:val="es-PE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Campos incompletos</w:t>
      </w:r>
      <w:r>
        <w:rPr>
          <w:lang w:val="es-PE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s-P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Documento no encontrado</w:t>
      </w:r>
      <w:r>
        <w:rPr>
          <w:lang w:val="es-P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PE"/>
        </w:rPr>
        <w:t xml:space="preserve">7. Preguntas Frecuentes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¿Se puede usar fuera del horario laboral?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Sí, disponible 24/7.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¿Qué pasa si no se autocompletan los datos?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Se ingresan manualmente.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¿Puedo adjuntar varios archivos?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Sí, anexos múltiples.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¿Cómo sé que se registró?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Mensaje en pantalla + correo electrónico.</w:t>
      </w:r>
      <w:r>
        <w:rPr>
          <w:lang w:val="es-P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P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PE"/>
        </w:rPr>
        <w:t xml:space="preserve">¿Se puede editar después?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es-PE"/>
        </w:rPr>
        <w:t xml:space="preserve"> No, el registro es definitivo.</w:t>
      </w:r>
      <w:r>
        <w:rPr>
          <w:lang w:val="es-PE"/>
        </w:rPr>
      </w:r>
    </w:p>
    <w:p>
      <w:pPr>
        <w:pBdr/>
        <w:spacing/>
        <w:ind/>
        <w:rPr>
          <w:lang w:val="es-PE"/>
        </w:rPr>
      </w:pPr>
      <w:r>
        <w:rPr>
          <w:lang w:val="es-PE" w:bidi="es-PE"/>
        </w:rPr>
      </w:r>
      <w:r>
        <w:rPr>
          <w:lang w:val="es-P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2EBF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78B5A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1DFAB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B950D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10850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B9FA9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99692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B0003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45231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50B81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147A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50C3C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670CC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F41C1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588E9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0D764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6262B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147A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588E9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sgd.emapat.com.pe:4200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2026-05-27T13:36:38Z</dcterms:modified>
</cp:coreProperties>
</file>