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57F5" w14:textId="52BED71F" w:rsidR="00EE2569" w:rsidRDefault="007D7B4A" w:rsidP="00EE2569">
      <w:pPr>
        <w:tabs>
          <w:tab w:val="clear" w:pos="6480"/>
          <w:tab w:val="center" w:pos="4680"/>
        </w:tabs>
        <w:jc w:val="center"/>
        <w:rPr>
          <w:b/>
          <w:sz w:val="28"/>
        </w:rPr>
      </w:pPr>
      <w:r>
        <w:rPr>
          <w:b/>
          <w:sz w:val="28"/>
        </w:rPr>
        <w:t>CORPORATION</w:t>
      </w:r>
    </w:p>
    <w:p w14:paraId="1CFF5009" w14:textId="77777777" w:rsidR="00EE2569" w:rsidRDefault="00EE2569" w:rsidP="00EE2569">
      <w:pPr>
        <w:tabs>
          <w:tab w:val="clear" w:pos="6480"/>
          <w:tab w:val="center" w:pos="4680"/>
        </w:tabs>
        <w:jc w:val="center"/>
        <w:rPr>
          <w:b/>
          <w:sz w:val="28"/>
        </w:rPr>
      </w:pPr>
      <w:r>
        <w:rPr>
          <w:b/>
          <w:sz w:val="28"/>
        </w:rPr>
        <w:t>NOTICE OF GRANT OF STOCK OPTION</w:t>
      </w:r>
    </w:p>
    <w:p w14:paraId="09AE30D4" w14:textId="77777777" w:rsidR="0040168A" w:rsidRPr="0040168A" w:rsidRDefault="0040168A" w:rsidP="00EE2569">
      <w:pPr>
        <w:tabs>
          <w:tab w:val="clear" w:pos="6480"/>
          <w:tab w:val="center" w:pos="4680"/>
        </w:tabs>
        <w:jc w:val="center"/>
        <w:rPr>
          <w:b/>
          <w:sz w:val="20"/>
        </w:rPr>
      </w:pPr>
      <w:r w:rsidRPr="0040168A">
        <w:rPr>
          <w:b/>
          <w:sz w:val="20"/>
        </w:rPr>
        <w:t>(Immediately Exercisable)</w:t>
      </w:r>
    </w:p>
    <w:p w14:paraId="7A93FA65" w14:textId="77777777" w:rsidR="00EE2569" w:rsidRDefault="00EE2569" w:rsidP="00EE2569">
      <w:pPr>
        <w:tabs>
          <w:tab w:val="clear" w:pos="6480"/>
          <w:tab w:val="left" w:pos="-720"/>
        </w:tabs>
        <w:rPr>
          <w:sz w:val="22"/>
        </w:rPr>
      </w:pPr>
    </w:p>
    <w:p w14:paraId="19F9FC8A" w14:textId="4D50BAB4" w:rsidR="00EE2569" w:rsidRPr="0040168A" w:rsidRDefault="00EE2569" w:rsidP="00EE2569">
      <w:pPr>
        <w:tabs>
          <w:tab w:val="clear" w:pos="6480"/>
          <w:tab w:val="left" w:pos="-720"/>
        </w:tabs>
        <w:jc w:val="both"/>
        <w:rPr>
          <w:sz w:val="20"/>
        </w:rPr>
      </w:pPr>
      <w:r w:rsidRPr="0040168A">
        <w:rPr>
          <w:sz w:val="20"/>
        </w:rPr>
        <w:tab/>
        <w:t xml:space="preserve">________________________ (the </w:t>
      </w:r>
      <w:r w:rsidRPr="0040168A">
        <w:rPr>
          <w:i/>
          <w:sz w:val="20"/>
        </w:rPr>
        <w:t>“</w:t>
      </w:r>
      <w:r w:rsidRPr="0040168A">
        <w:rPr>
          <w:b/>
          <w:i/>
          <w:sz w:val="20"/>
        </w:rPr>
        <w:t>Optionee</w:t>
      </w:r>
      <w:r w:rsidRPr="0040168A">
        <w:rPr>
          <w:i/>
          <w:sz w:val="20"/>
        </w:rPr>
        <w:t>”</w:t>
      </w:r>
      <w:r w:rsidRPr="0040168A">
        <w:rPr>
          <w:sz w:val="20"/>
        </w:rPr>
        <w:t xml:space="preserve">) has been granted an option (the </w:t>
      </w:r>
      <w:r w:rsidRPr="0040168A">
        <w:rPr>
          <w:i/>
          <w:sz w:val="20"/>
        </w:rPr>
        <w:t>“</w:t>
      </w:r>
      <w:r w:rsidRPr="0040168A">
        <w:rPr>
          <w:b/>
          <w:i/>
          <w:sz w:val="20"/>
        </w:rPr>
        <w:t>Option</w:t>
      </w:r>
      <w:r w:rsidRPr="0040168A">
        <w:rPr>
          <w:i/>
          <w:sz w:val="20"/>
        </w:rPr>
        <w:t>”</w:t>
      </w:r>
      <w:r w:rsidRPr="0040168A">
        <w:rPr>
          <w:sz w:val="20"/>
        </w:rPr>
        <w:t xml:space="preserve">) to purchase certain shares of Stock of </w:t>
      </w:r>
      <w:r w:rsidR="007D7B4A" w:rsidRPr="0040168A">
        <w:rPr>
          <w:sz w:val="20"/>
        </w:rPr>
        <w:t>Corporation</w:t>
      </w:r>
      <w:r w:rsidRPr="0040168A">
        <w:rPr>
          <w:sz w:val="20"/>
        </w:rPr>
        <w:t xml:space="preserve"> pursuant to the </w:t>
      </w:r>
      <w:r w:rsidR="007D7B4A" w:rsidRPr="0040168A">
        <w:rPr>
          <w:b/>
          <w:bCs/>
          <w:sz w:val="20"/>
        </w:rPr>
        <w:t>Corporation</w:t>
      </w:r>
      <w:r w:rsidRPr="0040168A">
        <w:rPr>
          <w:b/>
          <w:bCs/>
          <w:sz w:val="20"/>
        </w:rPr>
        <w:t xml:space="preserve"> </w:t>
      </w:r>
      <w:r w:rsidRPr="0040168A">
        <w:rPr>
          <w:b/>
          <w:sz w:val="20"/>
        </w:rPr>
        <w:t>Stock Option Plan</w:t>
      </w:r>
      <w:r w:rsidRPr="0040168A">
        <w:rPr>
          <w:sz w:val="20"/>
        </w:rPr>
        <w:t xml:space="preserve"> (the </w:t>
      </w:r>
      <w:r w:rsidRPr="0040168A">
        <w:rPr>
          <w:i/>
          <w:sz w:val="20"/>
        </w:rPr>
        <w:t>“</w:t>
      </w:r>
      <w:r w:rsidRPr="0040168A">
        <w:rPr>
          <w:b/>
          <w:i/>
          <w:sz w:val="20"/>
        </w:rPr>
        <w:t>Plan</w:t>
      </w:r>
      <w:r w:rsidRPr="0040168A">
        <w:rPr>
          <w:i/>
          <w:sz w:val="20"/>
        </w:rPr>
        <w:t>”</w:t>
      </w:r>
      <w:r w:rsidRPr="0040168A">
        <w:rPr>
          <w:sz w:val="20"/>
        </w:rPr>
        <w:t>), as follows:</w:t>
      </w:r>
    </w:p>
    <w:p w14:paraId="2659F9C0" w14:textId="77777777" w:rsidR="00EE2569" w:rsidRPr="0040168A" w:rsidRDefault="00EE2569" w:rsidP="00EE2569">
      <w:pPr>
        <w:tabs>
          <w:tab w:val="clear" w:pos="6480"/>
          <w:tab w:val="left" w:pos="-720"/>
        </w:tabs>
        <w:rPr>
          <w:sz w:val="20"/>
        </w:rPr>
      </w:pPr>
    </w:p>
    <w:p w14:paraId="64CEF664" w14:textId="77777777" w:rsidR="00EE2569" w:rsidRPr="0040168A" w:rsidRDefault="00EE2569" w:rsidP="00EE2569">
      <w:pPr>
        <w:tabs>
          <w:tab w:val="clear" w:pos="6480"/>
        </w:tabs>
        <w:spacing w:after="200"/>
        <w:ind w:left="3600" w:hanging="2880"/>
        <w:rPr>
          <w:sz w:val="20"/>
        </w:rPr>
      </w:pPr>
      <w:r w:rsidRPr="0040168A">
        <w:rPr>
          <w:b/>
          <w:sz w:val="20"/>
        </w:rPr>
        <w:t>Grant Number:</w:t>
      </w:r>
      <w:r w:rsidRPr="0040168A">
        <w:rPr>
          <w:sz w:val="20"/>
        </w:rPr>
        <w:tab/>
      </w:r>
      <w:r w:rsidRPr="0040168A">
        <w:rPr>
          <w:sz w:val="20"/>
          <w:u w:val="single"/>
        </w:rPr>
        <w:tab/>
      </w:r>
      <w:r w:rsidRPr="0040168A">
        <w:rPr>
          <w:sz w:val="20"/>
          <w:u w:val="single"/>
        </w:rPr>
        <w:tab/>
      </w:r>
    </w:p>
    <w:p w14:paraId="72CF4AA5" w14:textId="77777777" w:rsidR="00EE2569" w:rsidRPr="0040168A" w:rsidRDefault="00EE2569" w:rsidP="00EE2569">
      <w:pPr>
        <w:tabs>
          <w:tab w:val="clear" w:pos="6480"/>
        </w:tabs>
        <w:spacing w:after="200"/>
        <w:ind w:left="3600" w:hanging="2880"/>
        <w:rPr>
          <w:sz w:val="20"/>
        </w:rPr>
      </w:pPr>
      <w:r w:rsidRPr="0040168A">
        <w:rPr>
          <w:b/>
          <w:sz w:val="20"/>
        </w:rPr>
        <w:t>Date of Option Grant:</w:t>
      </w:r>
      <w:r w:rsidRPr="0040168A">
        <w:rPr>
          <w:sz w:val="20"/>
        </w:rPr>
        <w:tab/>
      </w:r>
      <w:r w:rsidRPr="0040168A">
        <w:rPr>
          <w:sz w:val="20"/>
          <w:u w:val="single"/>
        </w:rPr>
        <w:tab/>
      </w:r>
      <w:r w:rsidRPr="0040168A">
        <w:rPr>
          <w:sz w:val="20"/>
          <w:u w:val="single"/>
        </w:rPr>
        <w:tab/>
      </w:r>
    </w:p>
    <w:p w14:paraId="156F8080" w14:textId="77777777" w:rsidR="00EE2569" w:rsidRPr="0040168A" w:rsidRDefault="00EE2569" w:rsidP="00EE2569">
      <w:pPr>
        <w:tabs>
          <w:tab w:val="clear" w:pos="6480"/>
        </w:tabs>
        <w:spacing w:after="200"/>
        <w:ind w:left="3600" w:hanging="2880"/>
        <w:rPr>
          <w:sz w:val="20"/>
        </w:rPr>
      </w:pPr>
      <w:r w:rsidRPr="0040168A">
        <w:rPr>
          <w:b/>
          <w:sz w:val="20"/>
        </w:rPr>
        <w:t>Number of Option Shares:</w:t>
      </w:r>
      <w:r w:rsidRPr="0040168A">
        <w:rPr>
          <w:sz w:val="20"/>
        </w:rPr>
        <w:tab/>
      </w:r>
      <w:r w:rsidRPr="0040168A">
        <w:rPr>
          <w:sz w:val="20"/>
          <w:u w:val="single"/>
        </w:rPr>
        <w:tab/>
      </w:r>
      <w:r w:rsidRPr="0040168A">
        <w:rPr>
          <w:sz w:val="20"/>
          <w:u w:val="single"/>
        </w:rPr>
        <w:tab/>
      </w:r>
    </w:p>
    <w:p w14:paraId="71A158FB" w14:textId="77777777" w:rsidR="00EE2569" w:rsidRPr="0040168A" w:rsidRDefault="00EE2569" w:rsidP="00EE2569">
      <w:pPr>
        <w:tabs>
          <w:tab w:val="clear" w:pos="6480"/>
        </w:tabs>
        <w:spacing w:after="200"/>
        <w:ind w:left="3600" w:hanging="2880"/>
        <w:rPr>
          <w:sz w:val="20"/>
        </w:rPr>
      </w:pPr>
      <w:r w:rsidRPr="0040168A">
        <w:rPr>
          <w:b/>
          <w:sz w:val="20"/>
        </w:rPr>
        <w:t>Exercise Price:</w:t>
      </w:r>
      <w:r w:rsidRPr="0040168A">
        <w:rPr>
          <w:sz w:val="20"/>
        </w:rPr>
        <w:tab/>
        <w:t>$</w:t>
      </w:r>
      <w:r w:rsidRPr="0040168A">
        <w:rPr>
          <w:sz w:val="20"/>
          <w:u w:val="single"/>
        </w:rPr>
        <w:tab/>
      </w:r>
      <w:proofErr w:type="gramStart"/>
      <w:r w:rsidRPr="0040168A">
        <w:rPr>
          <w:sz w:val="20"/>
          <w:u w:val="single"/>
        </w:rPr>
        <w:tab/>
      </w:r>
      <w:r w:rsidRPr="0040168A">
        <w:rPr>
          <w:sz w:val="20"/>
        </w:rPr>
        <w:t xml:space="preserve">  per</w:t>
      </w:r>
      <w:proofErr w:type="gramEnd"/>
      <w:r w:rsidRPr="0040168A">
        <w:rPr>
          <w:sz w:val="20"/>
        </w:rPr>
        <w:t xml:space="preserve"> share</w:t>
      </w:r>
    </w:p>
    <w:p w14:paraId="55DF9503" w14:textId="77777777" w:rsidR="0040168A" w:rsidRPr="0040168A" w:rsidRDefault="0040168A" w:rsidP="0040168A">
      <w:pPr>
        <w:tabs>
          <w:tab w:val="clear" w:pos="6480"/>
        </w:tabs>
        <w:spacing w:after="200"/>
        <w:ind w:left="3600" w:hanging="2880"/>
        <w:rPr>
          <w:sz w:val="20"/>
        </w:rPr>
      </w:pPr>
      <w:r w:rsidRPr="0040168A">
        <w:rPr>
          <w:b/>
          <w:sz w:val="20"/>
        </w:rPr>
        <w:t>Initial Exercise Date:</w:t>
      </w:r>
      <w:r w:rsidRPr="0040168A">
        <w:rPr>
          <w:sz w:val="20"/>
        </w:rPr>
        <w:tab/>
        <w:t>Later of Date of Option Grant or Service commencement date.</w:t>
      </w:r>
    </w:p>
    <w:p w14:paraId="7D64696E" w14:textId="77777777" w:rsidR="00EE2569" w:rsidRPr="0040168A" w:rsidRDefault="00EE2569" w:rsidP="00EE2569">
      <w:pPr>
        <w:tabs>
          <w:tab w:val="clear" w:pos="6480"/>
        </w:tabs>
        <w:spacing w:after="200"/>
        <w:ind w:left="3600" w:hanging="2880"/>
        <w:rPr>
          <w:sz w:val="20"/>
        </w:rPr>
      </w:pPr>
      <w:r w:rsidRPr="0040168A">
        <w:rPr>
          <w:b/>
          <w:sz w:val="20"/>
        </w:rPr>
        <w:t>Initial Vesting Date:</w:t>
      </w:r>
      <w:r w:rsidRPr="0040168A">
        <w:rPr>
          <w:sz w:val="20"/>
        </w:rPr>
        <w:tab/>
      </w:r>
      <w:r w:rsidRPr="0040168A">
        <w:rPr>
          <w:sz w:val="20"/>
          <w:u w:val="single"/>
        </w:rPr>
        <w:tab/>
      </w:r>
      <w:r w:rsidRPr="0040168A">
        <w:rPr>
          <w:sz w:val="20"/>
          <w:u w:val="single"/>
        </w:rPr>
        <w:tab/>
      </w:r>
      <w:r w:rsidRPr="0040168A">
        <w:rPr>
          <w:sz w:val="20"/>
        </w:rPr>
        <w:t xml:space="preserve"> (i.e., the date on which you first vest in some portion of your Option Shares)</w:t>
      </w:r>
    </w:p>
    <w:p w14:paraId="102D9CE5" w14:textId="77777777" w:rsidR="00EE2569" w:rsidRPr="0040168A" w:rsidRDefault="00EE2569" w:rsidP="00EE2569">
      <w:pPr>
        <w:tabs>
          <w:tab w:val="clear" w:pos="6480"/>
        </w:tabs>
        <w:spacing w:after="200"/>
        <w:ind w:left="3600" w:hanging="2880"/>
        <w:rPr>
          <w:sz w:val="20"/>
        </w:rPr>
      </w:pPr>
      <w:r w:rsidRPr="0040168A">
        <w:rPr>
          <w:b/>
          <w:sz w:val="20"/>
        </w:rPr>
        <w:t>Option Expiration Date:</w:t>
      </w:r>
      <w:r w:rsidRPr="0040168A">
        <w:rPr>
          <w:sz w:val="20"/>
        </w:rPr>
        <w:tab/>
        <w:t>The date ten (10) years after the Date of Option Grant.</w:t>
      </w:r>
    </w:p>
    <w:p w14:paraId="40E8C174" w14:textId="77777777" w:rsidR="00EE2569" w:rsidRPr="0040168A" w:rsidRDefault="00EE2569" w:rsidP="00EE2569">
      <w:pPr>
        <w:tabs>
          <w:tab w:val="clear" w:pos="6480"/>
        </w:tabs>
        <w:spacing w:after="200"/>
        <w:ind w:left="3600" w:hanging="2880"/>
        <w:rPr>
          <w:sz w:val="20"/>
        </w:rPr>
      </w:pPr>
      <w:r w:rsidRPr="0040168A">
        <w:rPr>
          <w:b/>
          <w:sz w:val="20"/>
        </w:rPr>
        <w:t>Tax Status of Option:</w:t>
      </w:r>
      <w:r w:rsidRPr="0040168A">
        <w:rPr>
          <w:sz w:val="20"/>
        </w:rPr>
        <w:tab/>
      </w:r>
      <w:r w:rsidRPr="0040168A">
        <w:rPr>
          <w:sz w:val="20"/>
          <w:u w:val="single"/>
        </w:rPr>
        <w:tab/>
      </w:r>
      <w:r w:rsidRPr="0040168A">
        <w:rPr>
          <w:sz w:val="20"/>
          <w:u w:val="single"/>
        </w:rPr>
        <w:tab/>
      </w:r>
      <w:r w:rsidRPr="0040168A">
        <w:rPr>
          <w:sz w:val="20"/>
        </w:rPr>
        <w:t xml:space="preserve"> Stock Option.  (Enter “Incentive” or “Nonstatutory.”  If blank, this Option will be a Nonstatutory Stock Option.)</w:t>
      </w:r>
    </w:p>
    <w:p w14:paraId="3C5244D3" w14:textId="77777777" w:rsidR="00EE2569" w:rsidRPr="0040168A" w:rsidRDefault="00EE2569" w:rsidP="00EE2569">
      <w:pPr>
        <w:tabs>
          <w:tab w:val="clear" w:pos="6480"/>
          <w:tab w:val="left" w:pos="-720"/>
        </w:tabs>
        <w:ind w:left="720"/>
        <w:jc w:val="both"/>
        <w:rPr>
          <w:sz w:val="20"/>
        </w:rPr>
      </w:pPr>
      <w:r w:rsidRPr="0040168A">
        <w:rPr>
          <w:b/>
          <w:sz w:val="20"/>
        </w:rPr>
        <w:t>Vested Shares:</w:t>
      </w:r>
      <w:r w:rsidRPr="0040168A">
        <w:rPr>
          <w:sz w:val="20"/>
        </w:rPr>
        <w:t xml:space="preserve">  Except as provided in the Stock Option Agreement, the number of Vested Shares (disregarding any resulting fractional share) as of any date is determined by multiplying the Number of Option Shares by the </w:t>
      </w:r>
      <w:r w:rsidRPr="0040168A">
        <w:rPr>
          <w:i/>
          <w:sz w:val="20"/>
        </w:rPr>
        <w:t>“</w:t>
      </w:r>
      <w:r w:rsidRPr="0040168A">
        <w:rPr>
          <w:b/>
          <w:i/>
          <w:sz w:val="20"/>
        </w:rPr>
        <w:t>Vested Ratio</w:t>
      </w:r>
      <w:r w:rsidRPr="0040168A">
        <w:rPr>
          <w:i/>
          <w:sz w:val="20"/>
        </w:rPr>
        <w:t>”</w:t>
      </w:r>
      <w:r w:rsidRPr="0040168A">
        <w:rPr>
          <w:sz w:val="20"/>
        </w:rPr>
        <w:t xml:space="preserve"> determined as of such date as follows:</w:t>
      </w:r>
    </w:p>
    <w:p w14:paraId="3B2729A5" w14:textId="77777777" w:rsidR="00EE2569" w:rsidRPr="0040168A" w:rsidRDefault="00EE2569" w:rsidP="00EE2569">
      <w:pPr>
        <w:rPr>
          <w:sz w:val="20"/>
        </w:rPr>
      </w:pPr>
    </w:p>
    <w:tbl>
      <w:tblPr>
        <w:tblW w:w="0" w:type="auto"/>
        <w:tblInd w:w="918" w:type="dxa"/>
        <w:tblLayout w:type="fixed"/>
        <w:tblLook w:val="0000" w:firstRow="0" w:lastRow="0" w:firstColumn="0" w:lastColumn="0" w:noHBand="0" w:noVBand="0"/>
      </w:tblPr>
      <w:tblGrid>
        <w:gridCol w:w="7290"/>
        <w:gridCol w:w="1368"/>
      </w:tblGrid>
      <w:tr w:rsidR="00EE2569" w:rsidRPr="0040168A" w14:paraId="2F39A25B" w14:textId="77777777">
        <w:tc>
          <w:tcPr>
            <w:tcW w:w="7290" w:type="dxa"/>
          </w:tcPr>
          <w:p w14:paraId="6875745C" w14:textId="77777777" w:rsidR="00EE2569" w:rsidRPr="0040168A" w:rsidRDefault="00EE2569" w:rsidP="00EE2569">
            <w:pPr>
              <w:spacing w:after="60"/>
              <w:ind w:left="-108"/>
              <w:rPr>
                <w:sz w:val="20"/>
              </w:rPr>
            </w:pPr>
          </w:p>
        </w:tc>
        <w:tc>
          <w:tcPr>
            <w:tcW w:w="1368" w:type="dxa"/>
          </w:tcPr>
          <w:p w14:paraId="7CFDC9F4" w14:textId="77777777" w:rsidR="00EE2569" w:rsidRPr="0040168A" w:rsidRDefault="00EE2569" w:rsidP="00EE2569">
            <w:pPr>
              <w:spacing w:after="60"/>
              <w:jc w:val="center"/>
              <w:rPr>
                <w:sz w:val="20"/>
              </w:rPr>
            </w:pPr>
            <w:r w:rsidRPr="0040168A">
              <w:rPr>
                <w:sz w:val="20"/>
                <w:u w:val="single"/>
              </w:rPr>
              <w:t>Vested Ratio</w:t>
            </w:r>
          </w:p>
        </w:tc>
      </w:tr>
      <w:tr w:rsidR="00EE2569" w:rsidRPr="0040168A" w14:paraId="63BB0E76" w14:textId="77777777">
        <w:tc>
          <w:tcPr>
            <w:tcW w:w="7290" w:type="dxa"/>
          </w:tcPr>
          <w:p w14:paraId="51165BB1" w14:textId="77777777" w:rsidR="00EE2569" w:rsidRPr="0040168A" w:rsidRDefault="00EE2569" w:rsidP="00EE2569">
            <w:pPr>
              <w:spacing w:after="60"/>
              <w:ind w:left="-108"/>
              <w:rPr>
                <w:sz w:val="20"/>
              </w:rPr>
            </w:pPr>
            <w:r w:rsidRPr="0040168A">
              <w:rPr>
                <w:sz w:val="20"/>
              </w:rPr>
              <w:t>Prior to Initial Vesting Date</w:t>
            </w:r>
          </w:p>
        </w:tc>
        <w:tc>
          <w:tcPr>
            <w:tcW w:w="1368" w:type="dxa"/>
          </w:tcPr>
          <w:p w14:paraId="61C87EF3" w14:textId="77777777" w:rsidR="00EE2569" w:rsidRPr="0040168A" w:rsidRDefault="00EE2569" w:rsidP="00EE2569">
            <w:pPr>
              <w:spacing w:after="60"/>
              <w:jc w:val="center"/>
              <w:rPr>
                <w:sz w:val="20"/>
              </w:rPr>
            </w:pPr>
            <w:r w:rsidRPr="0040168A">
              <w:rPr>
                <w:sz w:val="20"/>
              </w:rPr>
              <w:t>0</w:t>
            </w:r>
          </w:p>
        </w:tc>
      </w:tr>
      <w:tr w:rsidR="00EE2569" w:rsidRPr="0040168A" w14:paraId="66C009F2" w14:textId="77777777">
        <w:tc>
          <w:tcPr>
            <w:tcW w:w="7290" w:type="dxa"/>
          </w:tcPr>
          <w:p w14:paraId="1A26AB12" w14:textId="77777777" w:rsidR="00EE2569" w:rsidRPr="0040168A" w:rsidRDefault="00EE2569" w:rsidP="00EE2569">
            <w:pPr>
              <w:spacing w:after="60"/>
              <w:ind w:left="-108"/>
              <w:rPr>
                <w:sz w:val="20"/>
              </w:rPr>
            </w:pPr>
            <w:r w:rsidRPr="0040168A">
              <w:rPr>
                <w:sz w:val="20"/>
              </w:rPr>
              <w:t>On Initial Vesting Date, provided the Optionee’s Service has not terminated prior to such date</w:t>
            </w:r>
          </w:p>
        </w:tc>
        <w:tc>
          <w:tcPr>
            <w:tcW w:w="1368" w:type="dxa"/>
          </w:tcPr>
          <w:p w14:paraId="587DA216" w14:textId="77777777" w:rsidR="00EE2569" w:rsidRPr="0040168A" w:rsidRDefault="00EE2569" w:rsidP="00EE2569">
            <w:pPr>
              <w:spacing w:after="60"/>
              <w:jc w:val="center"/>
              <w:rPr>
                <w:sz w:val="20"/>
              </w:rPr>
            </w:pPr>
            <w:r w:rsidRPr="0040168A">
              <w:rPr>
                <w:sz w:val="20"/>
              </w:rPr>
              <w:br/>
              <w:t>1/</w:t>
            </w:r>
            <w:r w:rsidR="00370A65" w:rsidRPr="0040168A">
              <w:rPr>
                <w:sz w:val="20"/>
              </w:rPr>
              <w:t>5</w:t>
            </w:r>
          </w:p>
        </w:tc>
      </w:tr>
      <w:tr w:rsidR="00EE2569" w:rsidRPr="0040168A" w14:paraId="6D98EE22" w14:textId="77777777">
        <w:tc>
          <w:tcPr>
            <w:tcW w:w="7290" w:type="dxa"/>
          </w:tcPr>
          <w:p w14:paraId="704A6E97" w14:textId="77777777" w:rsidR="00EE2569" w:rsidRPr="0040168A" w:rsidRDefault="00EE2569" w:rsidP="00EE2569">
            <w:pPr>
              <w:spacing w:after="60"/>
              <w:ind w:left="-108"/>
              <w:rPr>
                <w:sz w:val="20"/>
              </w:rPr>
            </w:pPr>
            <w:r w:rsidRPr="0040168A">
              <w:rPr>
                <w:sz w:val="20"/>
                <w:u w:val="single"/>
              </w:rPr>
              <w:t>Plus</w:t>
            </w:r>
            <w:r w:rsidRPr="0040168A">
              <w:rPr>
                <w:sz w:val="20"/>
              </w:rPr>
              <w:t>:</w:t>
            </w:r>
          </w:p>
        </w:tc>
        <w:tc>
          <w:tcPr>
            <w:tcW w:w="1368" w:type="dxa"/>
          </w:tcPr>
          <w:p w14:paraId="72818359" w14:textId="77777777" w:rsidR="00EE2569" w:rsidRPr="0040168A" w:rsidRDefault="00EE2569" w:rsidP="00EE2569">
            <w:pPr>
              <w:spacing w:after="60"/>
              <w:jc w:val="center"/>
              <w:rPr>
                <w:sz w:val="20"/>
              </w:rPr>
            </w:pPr>
          </w:p>
        </w:tc>
      </w:tr>
      <w:tr w:rsidR="00EE2569" w:rsidRPr="0040168A" w14:paraId="3053B2A9" w14:textId="77777777">
        <w:tc>
          <w:tcPr>
            <w:tcW w:w="7290" w:type="dxa"/>
          </w:tcPr>
          <w:p w14:paraId="1EF4717C" w14:textId="77777777" w:rsidR="00EE2569" w:rsidRPr="0040168A" w:rsidRDefault="00EE2569" w:rsidP="00EE2569">
            <w:pPr>
              <w:spacing w:after="60"/>
              <w:ind w:left="-108"/>
              <w:rPr>
                <w:sz w:val="20"/>
              </w:rPr>
            </w:pPr>
            <w:r w:rsidRPr="0040168A">
              <w:rPr>
                <w:sz w:val="20"/>
              </w:rPr>
              <w:t xml:space="preserve">For each full </w:t>
            </w:r>
            <w:r w:rsidR="00370A65" w:rsidRPr="0040168A">
              <w:rPr>
                <w:sz w:val="20"/>
              </w:rPr>
              <w:t>year</w:t>
            </w:r>
            <w:r w:rsidRPr="0040168A">
              <w:rPr>
                <w:sz w:val="20"/>
              </w:rPr>
              <w:t xml:space="preserve"> of the Optionee’s continuous Service from Initial Vesting Date until the Vested Ratio equals 1/1, an additional</w:t>
            </w:r>
          </w:p>
        </w:tc>
        <w:tc>
          <w:tcPr>
            <w:tcW w:w="1368" w:type="dxa"/>
          </w:tcPr>
          <w:p w14:paraId="22B26183" w14:textId="77777777" w:rsidR="00EE2569" w:rsidRPr="0040168A" w:rsidRDefault="00EE2569" w:rsidP="00EE2569">
            <w:pPr>
              <w:spacing w:after="60"/>
              <w:jc w:val="center"/>
              <w:rPr>
                <w:sz w:val="20"/>
              </w:rPr>
            </w:pPr>
            <w:r w:rsidRPr="0040168A">
              <w:rPr>
                <w:sz w:val="20"/>
              </w:rPr>
              <w:br/>
              <w:t>1/</w:t>
            </w:r>
            <w:r w:rsidR="00370A65" w:rsidRPr="0040168A">
              <w:rPr>
                <w:sz w:val="20"/>
              </w:rPr>
              <w:t>5</w:t>
            </w:r>
          </w:p>
        </w:tc>
      </w:tr>
    </w:tbl>
    <w:p w14:paraId="15F9CF98" w14:textId="77777777" w:rsidR="00EE2569" w:rsidRPr="0040168A" w:rsidRDefault="00EE2569" w:rsidP="00EE2569">
      <w:pPr>
        <w:tabs>
          <w:tab w:val="clear" w:pos="6480"/>
          <w:tab w:val="left" w:pos="-1440"/>
          <w:tab w:val="left" w:pos="-720"/>
        </w:tabs>
        <w:rPr>
          <w:sz w:val="20"/>
        </w:rPr>
      </w:pPr>
    </w:p>
    <w:p w14:paraId="2B9DB7A9" w14:textId="77777777" w:rsidR="00EE2569" w:rsidRPr="0040168A" w:rsidRDefault="00EE2569" w:rsidP="00EE2569">
      <w:pPr>
        <w:tabs>
          <w:tab w:val="clear" w:pos="6480"/>
          <w:tab w:val="left" w:pos="-1440"/>
          <w:tab w:val="left" w:pos="-720"/>
        </w:tabs>
        <w:jc w:val="both"/>
        <w:rPr>
          <w:sz w:val="20"/>
        </w:rPr>
      </w:pPr>
      <w:r w:rsidRPr="0040168A">
        <w:rPr>
          <w:sz w:val="20"/>
        </w:rPr>
        <w:tab/>
        <w:t xml:space="preserve">By their signatures below, the Company and the Optionee agree that the Option is governed by this Notice and by the provisions of the Plan and the Stock Option Agreement, both of which are attached to and made a part of this document.  The Optionee acknowledges receipt of copies of the Plan and the Stock Option Agreement, represents that the Optionee has read and is familiar with their provisions, and hereby accepts the Option subject to </w:t>
      </w:r>
      <w:proofErr w:type="gramStart"/>
      <w:r w:rsidRPr="0040168A">
        <w:rPr>
          <w:sz w:val="20"/>
        </w:rPr>
        <w:t>all of</w:t>
      </w:r>
      <w:proofErr w:type="gramEnd"/>
      <w:r w:rsidRPr="0040168A">
        <w:rPr>
          <w:sz w:val="20"/>
        </w:rPr>
        <w:t xml:space="preserve"> their terms and conditions.</w:t>
      </w:r>
    </w:p>
    <w:p w14:paraId="5C9BA622" w14:textId="77777777" w:rsidR="00EE2569" w:rsidRPr="0040168A" w:rsidRDefault="00EE2569" w:rsidP="00EE2569">
      <w:pPr>
        <w:tabs>
          <w:tab w:val="clear" w:pos="6480"/>
          <w:tab w:val="left" w:pos="-1440"/>
          <w:tab w:val="left" w:pos="-720"/>
        </w:tabs>
        <w:rPr>
          <w:sz w:val="20"/>
        </w:rPr>
      </w:pPr>
    </w:p>
    <w:p w14:paraId="5A415B17" w14:textId="1450D1F8" w:rsidR="00EE2569" w:rsidRPr="0040168A" w:rsidRDefault="007D7B4A" w:rsidP="00EE2569">
      <w:pPr>
        <w:tabs>
          <w:tab w:val="clear" w:pos="6480"/>
          <w:tab w:val="left" w:pos="-1440"/>
          <w:tab w:val="left" w:pos="-720"/>
        </w:tabs>
        <w:rPr>
          <w:sz w:val="20"/>
        </w:rPr>
      </w:pPr>
      <w:r w:rsidRPr="0040168A">
        <w:rPr>
          <w:sz w:val="20"/>
        </w:rPr>
        <w:t>Corporation</w:t>
      </w:r>
      <w:r w:rsidR="00EE2569" w:rsidRPr="0040168A">
        <w:rPr>
          <w:sz w:val="20"/>
        </w:rPr>
        <w:tab/>
      </w:r>
      <w:r w:rsidR="00EE2569" w:rsidRPr="0040168A">
        <w:rPr>
          <w:sz w:val="20"/>
        </w:rPr>
        <w:tab/>
      </w:r>
      <w:r w:rsidR="00EE2569" w:rsidRPr="0040168A">
        <w:rPr>
          <w:sz w:val="20"/>
        </w:rPr>
        <w:tab/>
      </w:r>
      <w:r w:rsidR="00EE2569" w:rsidRPr="0040168A">
        <w:rPr>
          <w:sz w:val="20"/>
        </w:rPr>
        <w:tab/>
      </w:r>
      <w:r w:rsidR="00EE2569" w:rsidRPr="0040168A">
        <w:rPr>
          <w:sz w:val="20"/>
        </w:rPr>
        <w:tab/>
      </w:r>
      <w:r w:rsidR="00F014E6">
        <w:rPr>
          <w:sz w:val="20"/>
        </w:rPr>
        <w:tab/>
      </w:r>
      <w:r w:rsidR="00EE2569" w:rsidRPr="0040168A">
        <w:rPr>
          <w:sz w:val="20"/>
        </w:rPr>
        <w:t>OPTIONEE</w:t>
      </w:r>
    </w:p>
    <w:p w14:paraId="18505B0C" w14:textId="77777777" w:rsidR="00EE2569" w:rsidRPr="0040168A" w:rsidRDefault="00EE2569" w:rsidP="00EE2569">
      <w:pPr>
        <w:tabs>
          <w:tab w:val="clear" w:pos="6480"/>
          <w:tab w:val="left" w:pos="-1440"/>
          <w:tab w:val="left" w:pos="-720"/>
        </w:tabs>
        <w:rPr>
          <w:sz w:val="20"/>
        </w:rPr>
      </w:pPr>
    </w:p>
    <w:p w14:paraId="5DC19F18" w14:textId="77777777" w:rsidR="00EE2569" w:rsidRPr="0040168A" w:rsidRDefault="00EE2569" w:rsidP="00EE2569">
      <w:pPr>
        <w:tabs>
          <w:tab w:val="clear" w:pos="6480"/>
          <w:tab w:val="left" w:pos="-1440"/>
          <w:tab w:val="left" w:pos="-720"/>
        </w:tabs>
        <w:rPr>
          <w:sz w:val="20"/>
          <w:u w:val="single"/>
        </w:rPr>
      </w:pPr>
      <w:r w:rsidRPr="0040168A">
        <w:rPr>
          <w:sz w:val="20"/>
        </w:rPr>
        <w:t xml:space="preserve">By: </w:t>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p>
    <w:p w14:paraId="68013D59" w14:textId="77777777" w:rsidR="00EE2569" w:rsidRPr="0040168A" w:rsidRDefault="00EE2569" w:rsidP="00EE2569">
      <w:pPr>
        <w:tabs>
          <w:tab w:val="clear" w:pos="6480"/>
          <w:tab w:val="left" w:pos="-1440"/>
          <w:tab w:val="left" w:pos="-720"/>
        </w:tabs>
        <w:rPr>
          <w:sz w:val="20"/>
          <w:u w:val="single"/>
        </w:rPr>
      </w:pP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t>Signature</w:t>
      </w:r>
    </w:p>
    <w:p w14:paraId="129B732D" w14:textId="77777777" w:rsidR="00EE2569" w:rsidRPr="0040168A" w:rsidRDefault="00EE2569" w:rsidP="00EE2569">
      <w:pPr>
        <w:tabs>
          <w:tab w:val="clear" w:pos="6480"/>
          <w:tab w:val="left" w:pos="-1440"/>
          <w:tab w:val="left" w:pos="-720"/>
        </w:tabs>
        <w:rPr>
          <w:sz w:val="20"/>
        </w:rPr>
      </w:pPr>
      <w:r w:rsidRPr="0040168A">
        <w:rPr>
          <w:sz w:val="20"/>
        </w:rPr>
        <w:t xml:space="preserve">Its: </w:t>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p>
    <w:p w14:paraId="709E31C7" w14:textId="77777777" w:rsidR="00EE2569" w:rsidRPr="0040168A" w:rsidRDefault="00EE2569" w:rsidP="00EE2569">
      <w:pPr>
        <w:tabs>
          <w:tab w:val="clear" w:pos="6480"/>
          <w:tab w:val="left" w:pos="-1440"/>
          <w:tab w:val="left" w:pos="-720"/>
        </w:tabs>
        <w:rPr>
          <w:sz w:val="20"/>
        </w:rPr>
      </w:pP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t>Date</w:t>
      </w:r>
    </w:p>
    <w:p w14:paraId="7FE8947A" w14:textId="75D8F32A" w:rsidR="007D7B4A" w:rsidRPr="0040168A" w:rsidRDefault="00EE2569" w:rsidP="00EE2569">
      <w:pPr>
        <w:tabs>
          <w:tab w:val="clear" w:pos="6480"/>
          <w:tab w:val="left" w:pos="900"/>
        </w:tabs>
        <w:suppressAutoHyphens w:val="0"/>
        <w:autoSpaceDE w:val="0"/>
        <w:autoSpaceDN w:val="0"/>
        <w:adjustRightInd w:val="0"/>
        <w:rPr>
          <w:sz w:val="20"/>
        </w:rPr>
      </w:pPr>
      <w:r w:rsidRPr="0040168A">
        <w:rPr>
          <w:sz w:val="20"/>
        </w:rPr>
        <w:t>Address:</w:t>
      </w:r>
      <w:r w:rsidRPr="0040168A">
        <w:rPr>
          <w:sz w:val="20"/>
        </w:rPr>
        <w:tab/>
      </w:r>
    </w:p>
    <w:p w14:paraId="18950FD2" w14:textId="2D0348BE" w:rsidR="00EE2569" w:rsidRPr="0040168A" w:rsidRDefault="00EE2569" w:rsidP="00EE2569">
      <w:pPr>
        <w:tabs>
          <w:tab w:val="clear" w:pos="6480"/>
          <w:tab w:val="left" w:pos="-1440"/>
          <w:tab w:val="left" w:pos="-720"/>
          <w:tab w:val="left" w:pos="900"/>
        </w:tabs>
        <w:rPr>
          <w:sz w:val="20"/>
        </w:rPr>
      </w:pPr>
      <w:r w:rsidRPr="0040168A">
        <w:rPr>
          <w:sz w:val="20"/>
        </w:rPr>
        <w:tab/>
      </w:r>
      <w:r w:rsidR="00F014E6">
        <w:rPr>
          <w:sz w:val="20"/>
        </w:rPr>
        <w:tab/>
      </w:r>
      <w:r w:rsidR="00F014E6">
        <w:rPr>
          <w:sz w:val="20"/>
        </w:rPr>
        <w:tab/>
      </w:r>
      <w:r w:rsidRPr="0040168A">
        <w:rPr>
          <w:sz w:val="20"/>
        </w:rPr>
        <w:tab/>
      </w:r>
      <w:r w:rsidRPr="0040168A">
        <w:rPr>
          <w:sz w:val="20"/>
        </w:rPr>
        <w:tab/>
      </w:r>
      <w:r w:rsidRPr="0040168A">
        <w:rPr>
          <w:sz w:val="20"/>
        </w:rPr>
        <w:tab/>
      </w:r>
      <w:r w:rsidRPr="0040168A">
        <w:rPr>
          <w:sz w:val="20"/>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p>
    <w:p w14:paraId="298CBCBD" w14:textId="77777777" w:rsidR="00EE2569" w:rsidRPr="0040168A" w:rsidRDefault="00EE2569" w:rsidP="00EE2569">
      <w:pPr>
        <w:tabs>
          <w:tab w:val="clear" w:pos="6480"/>
          <w:tab w:val="left" w:pos="-1440"/>
          <w:tab w:val="left" w:pos="-720"/>
        </w:tabs>
        <w:rPr>
          <w:sz w:val="20"/>
        </w:rPr>
      </w:pP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t>Address</w:t>
      </w:r>
    </w:p>
    <w:p w14:paraId="17316326" w14:textId="77777777" w:rsidR="00EE2569" w:rsidRPr="0040168A" w:rsidRDefault="00EE2569" w:rsidP="00EE2569">
      <w:pPr>
        <w:tabs>
          <w:tab w:val="clear" w:pos="6480"/>
          <w:tab w:val="left" w:pos="-1440"/>
          <w:tab w:val="left" w:pos="-720"/>
        </w:tabs>
        <w:rPr>
          <w:sz w:val="20"/>
          <w:u w:val="single"/>
        </w:rPr>
      </w:pP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r w:rsidRPr="0040168A">
        <w:rPr>
          <w:sz w:val="20"/>
          <w:u w:val="single"/>
        </w:rPr>
        <w:tab/>
      </w:r>
    </w:p>
    <w:p w14:paraId="5CB55D07" w14:textId="77777777" w:rsidR="00EE2569" w:rsidRPr="0040168A" w:rsidRDefault="00EE2569" w:rsidP="00EE2569">
      <w:pPr>
        <w:tabs>
          <w:tab w:val="clear" w:pos="6480"/>
          <w:tab w:val="left" w:pos="-1440"/>
          <w:tab w:val="left" w:pos="-720"/>
        </w:tabs>
        <w:rPr>
          <w:sz w:val="20"/>
        </w:rPr>
      </w:pPr>
    </w:p>
    <w:p w14:paraId="34BEC689" w14:textId="7B93CD90" w:rsidR="005E21E5" w:rsidRPr="0040168A" w:rsidRDefault="00EE2569" w:rsidP="00EE2569">
      <w:pPr>
        <w:tabs>
          <w:tab w:val="clear" w:pos="6480"/>
          <w:tab w:val="left" w:pos="-1440"/>
          <w:tab w:val="left" w:pos="-720"/>
        </w:tabs>
        <w:ind w:left="2160" w:hanging="2160"/>
        <w:rPr>
          <w:sz w:val="20"/>
        </w:rPr>
      </w:pPr>
      <w:r w:rsidRPr="0040168A">
        <w:rPr>
          <w:sz w:val="20"/>
        </w:rPr>
        <w:t>ATTACHMENTS:</w:t>
      </w:r>
      <w:r w:rsidRPr="0040168A">
        <w:rPr>
          <w:sz w:val="20"/>
        </w:rPr>
        <w:tab/>
        <w:t>Stock Option Plan, as amended to the Date of Option Grant; Stock Option Agreement and Exercise Notice</w:t>
      </w:r>
    </w:p>
    <w:sectPr w:rsidR="005E21E5" w:rsidRPr="0040168A" w:rsidSect="00DC76BA">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900" w:right="1440" w:bottom="432" w:left="1440" w:header="432" w:footer="43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B03C" w14:textId="77777777" w:rsidR="003124C1" w:rsidRDefault="003124C1">
      <w:pPr>
        <w:tabs>
          <w:tab w:val="clear" w:pos="6480"/>
        </w:tabs>
        <w:suppressAutoHyphens w:val="0"/>
        <w:spacing w:line="20" w:lineRule="exact"/>
        <w:rPr>
          <w:rFonts w:ascii="Palatino-Roman 12.0pt" w:hAnsi="Palatino-Roman 12.0pt"/>
        </w:rPr>
      </w:pPr>
    </w:p>
  </w:endnote>
  <w:endnote w:type="continuationSeparator" w:id="0">
    <w:p w14:paraId="0677FEF8" w14:textId="77777777" w:rsidR="003124C1" w:rsidRDefault="003124C1">
      <w:r>
        <w:rPr>
          <w:rFonts w:ascii="Palatino-Roman 12.0pt" w:hAnsi="Palatino-Roman 12.0pt"/>
        </w:rPr>
        <w:t xml:space="preserve"> </w:t>
      </w:r>
    </w:p>
  </w:endnote>
  <w:endnote w:type="continuationNotice" w:id="1">
    <w:p w14:paraId="12A768BC" w14:textId="77777777" w:rsidR="003124C1" w:rsidRDefault="003124C1">
      <w:r>
        <w:rPr>
          <w:rFonts w:ascii="Palatino-Roman 12.0pt" w:hAnsi="Palatino-Roman 12.0pt"/>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Roman 12.0p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dern">
    <w:panose1 w:val="020B0604020202020204"/>
    <w:charset w:val="FF"/>
    <w:family w:val="modern"/>
    <w:notTrueType/>
    <w:pitch w:val="default"/>
    <w:sig w:usb0="00000003"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ms Rmn">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3226" w14:textId="77777777" w:rsidR="00F94B05" w:rsidRDefault="00F94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A7C5" w14:textId="77777777" w:rsidR="00F94B05" w:rsidRDefault="00F94B05">
    <w:pPr>
      <w:pStyle w:val="Footer"/>
      <w:widowControl w:val="0"/>
      <w:tabs>
        <w:tab w:val="clear" w:pos="9000"/>
        <w:tab w:val="right" w:pos="9270"/>
      </w:tabs>
      <w:suppressAutoHyphens w:val="0"/>
      <w:spacing w:line="200" w:lineRule="exact"/>
      <w:rPr>
        <w:rFonts w:ascii="Tms Rmn" w:hAnsi="Tms Rmn"/>
        <w:b/>
        <w:noProof/>
        <w:sz w:val="16"/>
      </w:rPr>
    </w:pPr>
    <w:r>
      <w:rPr>
        <w:rFonts w:ascii="Tms Rmn" w:hAnsi="Tms Rmn"/>
        <w:noProof/>
        <w:sz w:val="16"/>
      </w:rPr>
      <w:tab/>
    </w:r>
    <w:r>
      <w:rPr>
        <w:rFonts w:ascii="Tms Rmn" w:hAnsi="Tms Rmn"/>
        <w:noProof/>
        <w:sz w:val="16"/>
      </w:rPr>
      <w:tab/>
      <w:t>ISO/NQO-____</w:t>
    </w:r>
  </w:p>
  <w:p w14:paraId="78021F62" w14:textId="77777777" w:rsidR="0040168A" w:rsidRDefault="00F94B05">
    <w:pPr>
      <w:pStyle w:val="Footer"/>
      <w:tabs>
        <w:tab w:val="right" w:pos="9270"/>
      </w:tabs>
      <w:rPr>
        <w:noProof/>
        <w:sz w:val="16"/>
      </w:rPr>
    </w:pPr>
    <w:r>
      <w:rPr>
        <w:noProof/>
        <w:sz w:val="16"/>
      </w:rPr>
      <w:tab/>
    </w:r>
  </w:p>
  <w:p w14:paraId="047AE53F" w14:textId="77777777" w:rsidR="00F94B05" w:rsidRDefault="0040168A" w:rsidP="0040168A">
    <w:pPr>
      <w:pStyle w:val="Footer"/>
      <w:tabs>
        <w:tab w:val="right" w:pos="9270"/>
      </w:tabs>
      <w:spacing w:line="200" w:lineRule="exact"/>
      <w:rPr>
        <w:noProof/>
        <w:sz w:val="16"/>
      </w:rPr>
    </w:pPr>
    <w:r w:rsidRPr="0040168A">
      <w:rPr>
        <w:rStyle w:val="zzmpTrailerItem"/>
      </w:rPr>
      <w:t>SE\9067084.1</w:t>
    </w:r>
    <w:r w:rsidRPr="0040168A">
      <w:rPr>
        <w:rStyle w:val="zzmpTrailerItem"/>
      </w:rPr>
      <w:br/>
      <w:t>357532-1</w:t>
    </w:r>
    <w:r w:rsidRPr="0040168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853D" w14:textId="77777777" w:rsidR="00F94B05" w:rsidRDefault="00F94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28B6" w14:textId="77777777" w:rsidR="003124C1" w:rsidRDefault="003124C1">
      <w:r>
        <w:rPr>
          <w:rFonts w:ascii="Palatino-Roman 12.0pt" w:hAnsi="Palatino-Roman 12.0pt"/>
        </w:rPr>
        <w:separator/>
      </w:r>
    </w:p>
  </w:footnote>
  <w:footnote w:type="continuationSeparator" w:id="0">
    <w:p w14:paraId="29451ACA" w14:textId="77777777" w:rsidR="003124C1" w:rsidRDefault="00312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31D8" w14:textId="77777777" w:rsidR="00F94B05" w:rsidRDefault="00F94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C349" w14:textId="77777777" w:rsidR="00F94B05" w:rsidRDefault="00F94B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2825" w14:textId="77777777" w:rsidR="00F94B05" w:rsidRDefault="00F94B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F208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3A2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10DE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1251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A066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ECE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CA1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622E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C0A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BA40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name w:val="HeadingStyles||Heading|3|3|0|1|0|32||1|0|32||1|0|32||1|0|32||1|0|32||1|0|32||1|0|32||1|0|32||1|0|34||"/>
    <w:lvl w:ilvl="0">
      <w:start w:val="1"/>
      <w:numFmt w:val="none"/>
      <w:pStyle w:val="Heading1"/>
      <w:suff w:val="nothing"/>
      <w:lvlText w:val=""/>
      <w:lvlJc w:val="left"/>
    </w:lvl>
    <w:lvl w:ilvl="1">
      <w:start w:val="1"/>
      <w:numFmt w:val="decimal"/>
      <w:pStyle w:val="Heading2"/>
      <w:lvlText w:val="%2."/>
      <w:legacy w:legacy="1" w:legacySpace="0" w:legacyIndent="0"/>
      <w:lvlJc w:val="left"/>
    </w:lvl>
    <w:lvl w:ilvl="2">
      <w:start w:val="1"/>
      <w:numFmt w:val="decimal"/>
      <w:pStyle w:val="Heading3"/>
      <w:lvlText w:val="%2.%3"/>
      <w:legacy w:legacy="1" w:legacySpace="0" w:legacyIndent="0"/>
      <w:lvlJc w:val="left"/>
    </w:lvl>
    <w:lvl w:ilvl="3">
      <w:start w:val="1"/>
      <w:numFmt w:val="lowerLetter"/>
      <w:pStyle w:val="Heading4"/>
      <w:lvlText w:val="(%4)"/>
      <w:legacy w:legacy="1" w:legacySpace="0" w:legacyIndent="0"/>
      <w:lvlJc w:val="left"/>
    </w:lvl>
    <w:lvl w:ilvl="4">
      <w:start w:val="1"/>
      <w:numFmt w:val="lowerRoman"/>
      <w:pStyle w:val="Heading5"/>
      <w:lvlText w:val="(%5)"/>
      <w:legacy w:legacy="1" w:legacySpace="0" w:legacyIndent="0"/>
      <w:lvlJc w:val="left"/>
    </w:lvl>
    <w:lvl w:ilvl="5">
      <w:start w:val="1"/>
      <w:numFmt w:val="decimal"/>
      <w:pStyle w:val="Heading6"/>
      <w:lvlText w:val="(%6)"/>
      <w:legacy w:legacy="1" w:legacySpace="0" w:legacyIndent="0"/>
      <w:lvlJc w:val="left"/>
    </w:lvl>
    <w:lvl w:ilvl="6">
      <w:start w:val="1"/>
      <w:numFmt w:val="upperLetter"/>
      <w:pStyle w:val="Heading7"/>
      <w:lvlText w:val="(%7)"/>
      <w:legacy w:legacy="1" w:legacySpace="0" w:legacyIndent="0"/>
      <w:lvlJc w:val="left"/>
    </w:lvl>
    <w:lvl w:ilvl="7">
      <w:start w:val="1"/>
      <w:numFmt w:val="none"/>
      <w:pStyle w:val="Heading8"/>
      <w:lvlText w:val="_"/>
      <w:legacy w:legacy="1" w:legacySpace="0" w:legacyIndent="0"/>
      <w:lvlJc w:val="left"/>
    </w:lvl>
    <w:lvl w:ilvl="8">
      <w:numFmt w:val="none"/>
      <w:lvlText w:val=""/>
      <w:lvlJc w:val="left"/>
    </w:lvl>
  </w:abstractNum>
  <w:num w:numId="1" w16cid:durableId="472988056">
    <w:abstractNumId w:val="10"/>
  </w:num>
  <w:num w:numId="2" w16cid:durableId="1120296301">
    <w:abstractNumId w:val="9"/>
  </w:num>
  <w:num w:numId="3" w16cid:durableId="1480808542">
    <w:abstractNumId w:val="7"/>
  </w:num>
  <w:num w:numId="4" w16cid:durableId="1308431908">
    <w:abstractNumId w:val="6"/>
  </w:num>
  <w:num w:numId="5" w16cid:durableId="275019254">
    <w:abstractNumId w:val="5"/>
  </w:num>
  <w:num w:numId="6" w16cid:durableId="567617051">
    <w:abstractNumId w:val="4"/>
  </w:num>
  <w:num w:numId="7" w16cid:durableId="315186000">
    <w:abstractNumId w:val="8"/>
  </w:num>
  <w:num w:numId="8" w16cid:durableId="1519811655">
    <w:abstractNumId w:val="3"/>
  </w:num>
  <w:num w:numId="9" w16cid:durableId="2011786431">
    <w:abstractNumId w:val="2"/>
  </w:num>
  <w:num w:numId="10" w16cid:durableId="449980646">
    <w:abstractNumId w:val="1"/>
  </w:num>
  <w:num w:numId="11" w16cid:durableId="82794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E5"/>
    <w:rsid w:val="00091A1E"/>
    <w:rsid w:val="003124C1"/>
    <w:rsid w:val="00370A65"/>
    <w:rsid w:val="0040168A"/>
    <w:rsid w:val="004C3A10"/>
    <w:rsid w:val="005A1EC0"/>
    <w:rsid w:val="005E21E5"/>
    <w:rsid w:val="007D7B4A"/>
    <w:rsid w:val="00811FC8"/>
    <w:rsid w:val="00864D9C"/>
    <w:rsid w:val="00B759E7"/>
    <w:rsid w:val="00BA32D7"/>
    <w:rsid w:val="00D51065"/>
    <w:rsid w:val="00DC76BA"/>
    <w:rsid w:val="00E67B0A"/>
    <w:rsid w:val="00EC45EE"/>
    <w:rsid w:val="00EE2569"/>
    <w:rsid w:val="00F014E6"/>
    <w:rsid w:val="00F4070B"/>
    <w:rsid w:val="00F94B05"/>
    <w:rsid w:val="00FE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9E8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6480"/>
      </w:tabs>
      <w:suppressAutoHyphens/>
    </w:pPr>
    <w:rPr>
      <w:sz w:val="24"/>
    </w:rPr>
  </w:style>
  <w:style w:type="paragraph" w:styleId="Heading1">
    <w:name w:val="heading 1"/>
    <w:basedOn w:val="Normal"/>
    <w:next w:val="Normal"/>
    <w:qFormat/>
    <w:pPr>
      <w:numPr>
        <w:numId w:val="1"/>
      </w:numPr>
      <w:tabs>
        <w:tab w:val="clear" w:pos="6480"/>
      </w:tabs>
      <w:suppressAutoHyphens w:val="0"/>
      <w:outlineLvl w:val="0"/>
    </w:pPr>
  </w:style>
  <w:style w:type="paragraph" w:styleId="Heading2">
    <w:name w:val="heading 2"/>
    <w:basedOn w:val="Normal"/>
    <w:next w:val="Normal"/>
    <w:qFormat/>
    <w:pPr>
      <w:numPr>
        <w:ilvl w:val="1"/>
        <w:numId w:val="1"/>
      </w:numPr>
      <w:tabs>
        <w:tab w:val="clear" w:pos="6480"/>
      </w:tabs>
      <w:suppressAutoHyphens w:val="0"/>
      <w:ind w:firstLine="720"/>
      <w:outlineLvl w:val="1"/>
    </w:pPr>
  </w:style>
  <w:style w:type="paragraph" w:styleId="Heading3">
    <w:name w:val="heading 3"/>
    <w:basedOn w:val="Normal"/>
    <w:next w:val="Normal"/>
    <w:qFormat/>
    <w:pPr>
      <w:numPr>
        <w:ilvl w:val="2"/>
        <w:numId w:val="1"/>
      </w:numPr>
      <w:tabs>
        <w:tab w:val="clear" w:pos="6480"/>
      </w:tabs>
      <w:suppressAutoHyphens w:val="0"/>
      <w:ind w:firstLine="1440"/>
      <w:outlineLvl w:val="2"/>
    </w:pPr>
  </w:style>
  <w:style w:type="paragraph" w:styleId="Heading4">
    <w:name w:val="heading 4"/>
    <w:basedOn w:val="Normal"/>
    <w:next w:val="Normal"/>
    <w:qFormat/>
    <w:pPr>
      <w:numPr>
        <w:ilvl w:val="3"/>
        <w:numId w:val="1"/>
      </w:numPr>
      <w:tabs>
        <w:tab w:val="clear" w:pos="6480"/>
      </w:tabs>
      <w:suppressAutoHyphens w:val="0"/>
      <w:ind w:firstLine="2160"/>
      <w:outlineLvl w:val="3"/>
    </w:pPr>
  </w:style>
  <w:style w:type="paragraph" w:styleId="Heading5">
    <w:name w:val="heading 5"/>
    <w:basedOn w:val="Normal"/>
    <w:next w:val="Normal"/>
    <w:qFormat/>
    <w:pPr>
      <w:numPr>
        <w:ilvl w:val="4"/>
        <w:numId w:val="1"/>
      </w:numPr>
      <w:tabs>
        <w:tab w:val="clear" w:pos="6480"/>
      </w:tabs>
      <w:suppressAutoHyphens w:val="0"/>
      <w:ind w:firstLine="2880"/>
      <w:outlineLvl w:val="4"/>
    </w:pPr>
  </w:style>
  <w:style w:type="paragraph" w:styleId="Heading6">
    <w:name w:val="heading 6"/>
    <w:basedOn w:val="Normal"/>
    <w:next w:val="Normal"/>
    <w:qFormat/>
    <w:pPr>
      <w:numPr>
        <w:ilvl w:val="5"/>
        <w:numId w:val="1"/>
      </w:numPr>
      <w:tabs>
        <w:tab w:val="clear" w:pos="6480"/>
      </w:tabs>
      <w:suppressAutoHyphens w:val="0"/>
      <w:outlineLvl w:val="5"/>
    </w:pPr>
  </w:style>
  <w:style w:type="paragraph" w:styleId="Heading7">
    <w:name w:val="heading 7"/>
    <w:basedOn w:val="Normal"/>
    <w:next w:val="Normal"/>
    <w:qFormat/>
    <w:pPr>
      <w:numPr>
        <w:ilvl w:val="6"/>
        <w:numId w:val="1"/>
      </w:numPr>
      <w:tabs>
        <w:tab w:val="clear" w:pos="6480"/>
      </w:tabs>
      <w:suppressAutoHyphens w:val="0"/>
      <w:outlineLvl w:val="6"/>
    </w:pPr>
  </w:style>
  <w:style w:type="paragraph" w:styleId="Heading8">
    <w:name w:val="heading 8"/>
    <w:basedOn w:val="Normal"/>
    <w:next w:val="Normal"/>
    <w:qFormat/>
    <w:pPr>
      <w:numPr>
        <w:ilvl w:val="7"/>
        <w:numId w:val="1"/>
      </w:numPr>
      <w:tabs>
        <w:tab w:val="clear" w:pos="6480"/>
      </w:tabs>
      <w:suppressAutoHyphens w:val="0"/>
      <w:outlineLvl w:val="7"/>
    </w:pPr>
  </w:style>
  <w:style w:type="paragraph" w:styleId="Heading9">
    <w:name w:val="heading 9"/>
    <w:basedOn w:val="Normal"/>
    <w:next w:val="Normal"/>
    <w:qFormat/>
    <w:pPr>
      <w:tabs>
        <w:tab w:val="clear" w:pos="6480"/>
      </w:tabs>
      <w:suppressAutoHyphens w:val="0"/>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tabs>
        <w:tab w:val="clear" w:pos="6480"/>
      </w:tabs>
      <w:suppressAutoHyphens w:val="0"/>
    </w:pPr>
    <w:rPr>
      <w:rFonts w:ascii="Palatino-Roman 12.0pt" w:hAnsi="Palatino-Roman 12.0pt"/>
    </w:rPr>
  </w:style>
  <w:style w:type="character" w:styleId="FootnoteReference">
    <w:name w:val="footnote reference"/>
    <w:basedOn w:val="DefaultParagraphFont"/>
    <w:semiHidden/>
    <w:rPr>
      <w:vertAlign w:val="superscript"/>
    </w:rPr>
  </w:style>
  <w:style w:type="paragraph" w:customStyle="1" w:styleId="Heading">
    <w:name w:val="Heading"/>
    <w:pPr>
      <w:tabs>
        <w:tab w:val="center" w:pos="4680"/>
      </w:tabs>
      <w:suppressAutoHyphens/>
      <w:ind w:firstLine="4680"/>
    </w:pPr>
    <w:rPr>
      <w:sz w:val="29"/>
    </w:rPr>
  </w:style>
  <w:style w:type="paragraph" w:styleId="Footer">
    <w:name w:val="footer"/>
    <w:basedOn w:val="Normal"/>
    <w:pPr>
      <w:tabs>
        <w:tab w:val="clear" w:pos="6480"/>
        <w:tab w:val="center" w:pos="4680"/>
        <w:tab w:val="right" w:pos="9000"/>
      </w:tabs>
    </w:pPr>
  </w:style>
  <w:style w:type="paragraph" w:customStyle="1" w:styleId="general">
    <w:name w:val="gener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rFonts w:ascii="Arial" w:hAnsi="Arial"/>
      <w:sz w:val="19"/>
    </w:rPr>
  </w:style>
  <w:style w:type="character" w:customStyle="1" w:styleId="BoldCenterd">
    <w:name w:val="Bold Centerd"/>
    <w:basedOn w:val="DefaultParagraphFont"/>
    <w:rPr>
      <w:b/>
      <w:sz w:val="35"/>
    </w:rPr>
  </w:style>
  <w:style w:type="paragraph" w:styleId="Header">
    <w:name w:val="header"/>
    <w:basedOn w:val="Normal"/>
    <w:pPr>
      <w:tabs>
        <w:tab w:val="clear" w:pos="6480"/>
        <w:tab w:val="left" w:pos="2880"/>
        <w:tab w:val="left" w:pos="7200"/>
      </w:tabs>
    </w:pPr>
  </w:style>
  <w:style w:type="paragraph" w:customStyle="1" w:styleId="Footnoterefer">
    <w:name w:val="Footnote refer"/>
    <w:pPr>
      <w:tabs>
        <w:tab w:val="left" w:pos="-720"/>
      </w:tabs>
      <w:suppressAutoHyphens/>
    </w:pPr>
    <w:rPr>
      <w:sz w:val="16"/>
      <w:vertAlign w:val="superscript"/>
    </w:rPr>
  </w:style>
  <w:style w:type="paragraph" w:customStyle="1" w:styleId="FootnoteText1">
    <w:name w:val="Footnote Text1"/>
    <w:pPr>
      <w:tabs>
        <w:tab w:val="left" w:pos="-720"/>
      </w:tabs>
      <w:suppressAutoHyphens/>
    </w:pPr>
    <w:rPr>
      <w:rFonts w:ascii="Modern" w:hAnsi="Modern"/>
    </w:rPr>
  </w:style>
  <w:style w:type="character" w:styleId="PageNumber">
    <w:name w:val="page number"/>
    <w:basedOn w:val="DefaultParagraphFont"/>
    <w:rPr>
      <w:spacing w:val="-3"/>
    </w:rPr>
  </w:style>
  <w:style w:type="paragraph" w:customStyle="1" w:styleId="MSNormal">
    <w:name w:val="MSNormal"/>
    <w:pPr>
      <w:tabs>
        <w:tab w:val="left" w:pos="-1440"/>
        <w:tab w:val="left" w:pos="-720"/>
      </w:tabs>
      <w:suppressAutoHyphens/>
    </w:pPr>
    <w:rPr>
      <w:rFonts w:ascii="Courier New" w:hAnsi="Courier New"/>
      <w:color w:val="000000"/>
      <w:sz w:val="22"/>
    </w:rPr>
  </w:style>
  <w:style w:type="paragraph" w:customStyle="1" w:styleId="MSFooter">
    <w:name w:val="MSFooter"/>
    <w:pPr>
      <w:tabs>
        <w:tab w:val="center" w:pos="4320"/>
        <w:tab w:val="right" w:pos="8640"/>
        <w:tab w:val="right" w:pos="9360"/>
        <w:tab w:val="right" w:pos="10080"/>
      </w:tabs>
      <w:suppressAutoHyphens/>
    </w:pPr>
    <w:rPr>
      <w:rFonts w:ascii="Courier New" w:hAnsi="Courier New"/>
      <w:color w:val="000000"/>
      <w:sz w:val="22"/>
    </w:rPr>
  </w:style>
  <w:style w:type="paragraph" w:customStyle="1" w:styleId="Paragraph">
    <w:name w:val="Paragraph"/>
    <w:pPr>
      <w:tabs>
        <w:tab w:val="left" w:pos="-1440"/>
        <w:tab w:val="left" w:pos="-720"/>
      </w:tabs>
      <w:suppressAutoHyphens/>
      <w:jc w:val="both"/>
    </w:pPr>
    <w:rPr>
      <w:rFonts w:ascii="Arial Narrow" w:hAnsi="Arial Narrow"/>
      <w:color w:val="000000"/>
      <w:spacing w:val="-2"/>
      <w:sz w:val="19"/>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character" w:customStyle="1" w:styleId="zzmpTrailerItem">
    <w:name w:val="zzmpTrailerItem"/>
    <w:basedOn w:val="DefaultParagraphFont"/>
    <w:rsid w:val="005E21E5"/>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1764</Characters>
  <Application>Microsoft Office Word</Application>
  <DocSecurity>0</DocSecurity>
  <PresentationFormat/>
  <Lines>39</Lines>
  <Paragraphs>11</Paragraphs>
  <ScaleCrop>false</ScaleCrop>
  <Manager/>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2</cp:revision>
  <dcterms:created xsi:type="dcterms:W3CDTF">2022-09-20T20:45:00Z</dcterms:created>
  <dcterms:modified xsi:type="dcterms:W3CDTF">2022-11-15T08:46:00Z</dcterms:modified>
  <cp:category> </cp:category>
</cp:coreProperties>
</file>