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Design Phase</w:t>
      </w:r>
    </w:p>
    <w:p>
      <w:pPr>
        <w:pStyle w:val="BodyText"/>
      </w:pPr>
      <w:r>
        <w:rPr>
          <w:b/>
          <w:bCs/>
        </w:rPr>
        <w:t xml:space="preserve">Problem – Solution Fit Template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/>
    <w:tbl>
      <w:tblPr>
        <w:tblStyle w:val="Table"/>
        <w:tblW w:type="pct" w:w="4984"/>
        <w:tblLayout w:type="fixed"/>
        <w:tblLook w:firstRow="0" w:lastRow="0" w:firstColumn="0" w:lastColumn="0" w:noHBand="0" w:noVBand="0" w:val="0000"/>
      </w:tblPr>
      <w:tblGrid>
        <w:gridCol w:w="2474"/>
        <w:gridCol w:w="2698"/>
        <w:gridCol w:w="272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CUSTOMER SEGMENTS</w:t>
            </w:r>
            <w:r>
              <w:t xml:space="preserve">Students/learners preparing for interviews or vivas; educators/trainers informally assessing spoken understanding.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CUSTOMER LIMITATIONS</w:t>
            </w:r>
            <w:r>
              <w:t xml:space="preserve">No paid-API budget; only basic laptop/mic hardware; limited on-demand access to a human evaluator.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AVAILABLE SOLUTIONS (pros/cons)</w:t>
            </w:r>
            <w:r>
              <w:t xml:space="preserve">Manual mentor feedback (accurate, but slow/unavailable); generic speech-to-text apps (transcribe, but don’t judge understanding); written quiz tools (test writing, not speaking).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PROBLEMS/PAINS + FREQUENCY</w:t>
            </w:r>
            <w:r>
              <w:t xml:space="preserve">No objective way to self-check a spoken explanation — recurs every time a learner prepares for an interview or viva.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PROBLEM ROOT/CAUSE</w:t>
            </w:r>
            <w:r>
              <w:t xml:space="preserve">Verbal-understanding assessment has traditionally required a human listener; no free, offline automated alternative exists for individual learners.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BEHAVIOR + INTENSITY</w:t>
            </w:r>
            <w:r>
              <w:t xml:space="preserve">Learners repeatedly rehearse and re-record explanations alone, often with moderate-to-high anxiety before high-stakes evaluations.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TRIGGERS TO ACT</w:t>
            </w:r>
            <w:r>
              <w:t xml:space="preserve">An upcoming interview/viva/presentation; a mentor unavailable for feedback; wanting to track improvement across attempts.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YOUR SOLUTION</w:t>
            </w:r>
            <w:r>
              <w:t xml:space="preserve">VBCUA — upload a spoken explanation and get an automated semantic + delivery-quality score (0–100) with a Strong/Moderate/Poor classification and a downloadable PDF report, offline and free.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CHANNELS OF BEHAVIOR</w:t>
            </w:r>
            <w:r>
              <w:t xml:space="preserve">Online: n/a (fully offline tool run locally). Offline: practicing aloud at home, using a laptop microphone to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EMOTIONS BEFORE/AFTER</w:t>
            </w:r>
            <w:r>
              <w:t xml:space="preserve">Before: uncertain, anxious about hidden gaps in understanding. After: reassured by a concrete score, or motivated by specific metrics (filler words, pauses) to improve.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Reference: https://www.ideahackers.network/problem-solution-fit-canvas/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