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Project Development Phase</w:t>
      </w:r>
    </w:p>
    <w:p>
      <w:pPr>
        <w:pStyle w:val="BodyText"/>
      </w:pPr>
      <w:r>
        <w:rPr>
          <w:b/>
          <w:bCs/>
        </w:rPr>
        <w:t xml:space="preserve">Model Performance Test</w:t>
      </w:r>
    </w:p>
    <w:tbl>
      <w:tblPr>
        <w:tblStyle w:val="Table"/>
        <w:tblW w:type="pct" w:w="4884"/>
        <w:tblLayout w:type="fixed"/>
        <w:tblLook w:firstRow="0" w:lastRow="0" w:firstColumn="0" w:lastColumn="0" w:noHBand="0" w:noVBand="0" w:val="0000"/>
      </w:tblPr>
      <w:tblGrid>
        <w:gridCol w:w="2854"/>
        <w:gridCol w:w="4880"/>
      </w:tblGrid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Voice-Based Concept Understanding Analyser (VBCUA)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Performance Testing:</w:t>
      </w:r>
    </w:p>
    <w:tbl>
      <w:tblPr>
        <w:tblStyle w:val="Table"/>
        <w:tblW w:type="pct" w:w="4977"/>
        <w:tblLayout w:type="fixed"/>
        <w:tblLook w:firstRow="1" w:lastRow="0" w:firstColumn="0" w:lastColumn="0" w:noHBand="0" w:noVBand="0" w:val="0020"/>
      </w:tblPr>
      <w:tblGrid>
        <w:gridCol w:w="182"/>
        <w:gridCol w:w="567"/>
        <w:gridCol w:w="5651"/>
        <w:gridCol w:w="148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VBCUA uses two pretrained models with no custom training: OpenAI Whisper (</w:t>
            </w:r>
            <w:r>
              <w:rPr>
                <w:rStyle w:val="VerbatimChar"/>
              </w:rPr>
              <w:t xml:space="preserve">base</w:t>
            </w:r>
            <w:r>
              <w:t xml:space="preserve">) for speech-to-text, and Sentence-BERT (</w:t>
            </w:r>
            <w:r>
              <w:rPr>
                <w:rStyle w:val="VerbatimChar"/>
              </w:rPr>
              <w:t xml:space="preserve">all-MiniLM-L6-v2</w:t>
            </w:r>
            <w:r>
              <w:t xml:space="preserve">) for semantic similarity between the transcript and a reference concept.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../../6. Project Documentation/screenshots/After completing analysis.png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in the traditional train/validation sense — both models are used off-the-shelf, pretrained. Functional accuracy was instead validated end-to-end: a clear</w:t>
            </w:r>
            <w:r>
              <w:t xml:space="preserve"> </w:t>
            </w:r>
            <w:r>
              <w:t xml:space="preserve">“Machine Learning”</w:t>
            </w:r>
            <w:r>
              <w:t xml:space="preserve"> </w:t>
            </w:r>
            <w:r>
              <w:t xml:space="preserve">explanation scored 90/100 (Strong Understanding); see the Performance Testing results in the Final Report (Phase 6).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Tuning Result (if Done)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performed. Deliberate design choice: using pretrained models keeps the tool fully offline, dependency-light, and free to run without a training pipeline or labeled dataset (see</w:t>
            </w:r>
            <w:r>
              <w:t xml:space="preserve"> </w:t>
            </w:r>
            <w:r>
              <w:rPr>
                <w:rStyle w:val="VerbatimChar"/>
              </w:rPr>
              <w:t xml:space="preserve">PROGRESS.md</w:t>
            </w:r>
            <w:r>
              <w:t xml:space="preserve"> </w:t>
            </w:r>
            <w:r>
              <w:t xml:space="preserve">Key Decisions).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2026-07-18T14:04:23Z</dcterms:created>
  <dcterms:modified xsi:type="dcterms:W3CDTF">2026-07-18T14:04:23Z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