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Development Phase</w:t>
      </w:r>
    </w:p>
    <w:p>
      <w:pPr>
        <w:pStyle w:val="BodyText"/>
      </w:pPr>
      <w:r>
        <w:rPr>
          <w:b/>
          <w:bCs/>
        </w:rPr>
        <w:t xml:space="preserve">Model Performance Test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Performance Testing:</w:t>
      </w:r>
    </w:p>
    <w:tbl>
      <w:tblPr>
        <w:tblStyle w:val="Table"/>
        <w:tblW w:type="pct" w:w="4985"/>
        <w:tblLayout w:type="fixed"/>
        <w:tblLook w:firstRow="1" w:lastRow="0" w:firstColumn="0" w:lastColumn="0" w:noHBand="0" w:noVBand="0" w:val="0020"/>
      </w:tblPr>
      <w:tblGrid>
        <w:gridCol w:w="183"/>
        <w:gridCol w:w="331"/>
        <w:gridCol w:w="73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VBCUA’s</w:t>
            </w:r>
            <w:r>
              <w:t xml:space="preserve"> </w:t>
            </w:r>
            <w:r>
              <w:t xml:space="preserve">“Understanding Level”</w:t>
            </w:r>
            <w:r>
              <w:t xml:space="preserve"> </w:t>
            </w:r>
            <w:r>
              <w:t xml:space="preserve">is not produced by a trained regression or classification model — it is a</w:t>
            </w:r>
            <w:r>
              <w:t xml:space="preserve"> </w:t>
            </w:r>
            <w:r>
              <w:rPr>
                <w:b/>
                <w:bCs/>
              </w:rPr>
              <w:t xml:space="preserve">deterministic weighted-threshold rule</w:t>
            </w:r>
            <w:r>
              <w:t xml:space="preserve"> </w:t>
            </w:r>
            <w:r>
              <w:t xml:space="preserve">over 4 signals (semantic similarity 50 pts, filler-word ratio 20 pts, pause ratio 15 pts, RMS energy 15 pts), so standard MAE/MSE/RMSE/R2 or confusion-matrix metrics do not apply. Functional correctness was instead validated with real sample runs — e.g. a 12-second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clip produced: Semantic Similarity 0.7346, Filler Word Ratio 0.1538, Pause Ratio 0.0504, RMS Energy 0.1021, Final Score 90/100, classified</w:t>
            </w:r>
            <w:r>
              <w:t xml:space="preserve"> </w:t>
            </w:r>
            <w:r>
              <w:rPr>
                <w:b/>
                <w:bCs/>
              </w:rPr>
              <w:t xml:space="preserve">Strong Understanding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the scoring weights (50/20/15/15) and classification bands (≥80 Strong, 50–79 Moderate, &lt;50 Poor) are fixed by design, not tuned against a validation set. Hyperparameter tuning was performed for neither Whisper nor Sentence-BERT, since both are used as pretrained, frozen models.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