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Acceptance Testing</w:t>
      </w:r>
    </w:p>
    <w:p>
      <w:pPr>
        <w:pStyle w:val="BodyText"/>
      </w:pPr>
      <w:r>
        <w:rPr>
          <w:b/>
          <w:bCs/>
        </w:rPr>
        <w:t xml:space="preserve">UAT Execution &amp; Report Submission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1. Purpose of Document</w:t>
      </w:r>
    </w:p>
    <w:p>
      <w:pPr>
        <w:pStyle w:val="BodyText"/>
      </w:pPr>
      <w:r>
        <w:t xml:space="preserve">The purpose of this document is to briefly explain the test coverage and open issues of the VBCUA project at the time of release to User Acceptance Testing (UAT).</w:t>
      </w:r>
    </w:p>
    <w:p>
      <w:pPr>
        <w:pStyle w:val="BodyText"/>
      </w:pPr>
      <w:r>
        <w:rPr>
          <w:b/>
          <w:bCs/>
        </w:rPr>
        <w:t xml:space="preserve">2. Defect Analysis</w:t>
      </w:r>
    </w:p>
    <w:p>
      <w:pPr>
        <w:pStyle w:val="BodyText"/>
      </w:pPr>
      <w:r>
        <w:t xml:space="preserve">This report shows the number of resolved or closed bugs at each severity level, and how they were resolved.</w:t>
      </w:r>
    </w:p>
    <w:tbl>
      <w:tblPr>
        <w:tblStyle w:val="Table"/>
        <w:tblW w:type="pct" w:w="4881"/>
        <w:tblLayout w:type="fixed"/>
        <w:tblLook w:firstRow="1" w:lastRow="0" w:firstColumn="0" w:lastColumn="0" w:noHBand="0" w:noVBand="0" w:val="0020"/>
      </w:tblPr>
      <w:tblGrid>
        <w:gridCol w:w="1602"/>
        <w:gridCol w:w="1225"/>
        <w:gridCol w:w="1225"/>
        <w:gridCol w:w="1225"/>
        <w:gridCol w:w="1225"/>
        <w:gridCol w:w="12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Reproduced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Won’t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Notes:</w:t>
      </w:r>
      <w:r>
        <w:rPr>
          <w:i/>
          <w:iCs/>
        </w:rPr>
        <w:t xml:space="preserve"> </w:t>
      </w:r>
      <w:r>
        <w:rPr>
          <w:i/>
          <w:iCs/>
        </w:rPr>
        <w:t xml:space="preserve">“By Design”</w:t>
      </w:r>
      <w:r>
        <w:rPr>
          <w:i/>
          <w:iCs/>
        </w:rPr>
        <w:t xml:space="preserve"> </w:t>
      </w:r>
      <w:r>
        <w:rPr>
          <w:i/>
          <w:iCs/>
        </w:rPr>
        <w:t xml:space="preserve">items reflect intentional scope limits (no auth, no persistence — see Known Issues in the Final Report).</w:t>
      </w:r>
      <w:r>
        <w:rPr>
          <w:i/>
          <w:iCs/>
        </w:rPr>
        <w:t xml:space="preserve"> </w:t>
      </w:r>
      <w:r>
        <w:rPr>
          <w:i/>
          <w:iCs/>
        </w:rPr>
        <w:t xml:space="preserve">“Fixed”</w:t>
      </w:r>
      <w:r>
        <w:rPr>
          <w:i/>
          <w:iCs/>
        </w:rPr>
        <w:t xml:space="preserve"> </w:t>
      </w:r>
      <w:r>
        <w:rPr>
          <w:i/>
          <w:iCs/>
        </w:rPr>
        <w:t xml:space="preserve">items were minor issues resolved during Epic 2–3 development (e.g. stereo-to-mono handling, session_state initialization) and are recorded in</w:t>
      </w:r>
      <w:r>
        <w:t xml:space="preserve"> </w:t>
      </w:r>
      <w:r>
        <w:rPr>
          <w:rStyle w:val="VerbatimChar"/>
        </w:rPr>
        <w:t xml:space="preserve">PROGRESS.md</w:t>
      </w:r>
      <w:r>
        <w:rPr>
          <w:i/>
          <w:iCs/>
        </w:rPr>
        <w:t xml:space="preserve">, not as a formal ticket system.</w:t>
      </w:r>
    </w:p>
    <w:p>
      <w:pPr>
        <w:pStyle w:val="BodyText"/>
      </w:pPr>
      <w:r>
        <w:rPr>
          <w:b/>
          <w:bCs/>
        </w:rPr>
        <w:t xml:space="preserve">3. Test Case Analysis</w:t>
      </w:r>
    </w:p>
    <w:p>
      <w:pPr>
        <w:pStyle w:val="BodyText"/>
      </w:pPr>
      <w:r>
        <w:t xml:space="preserve">This report shows the number of test cases that have passed, failed, and untested, grouped by functional area.</w:t>
      </w:r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3382"/>
        <w:gridCol w:w="1155"/>
        <w:gridCol w:w="1072"/>
        <w:gridCol w:w="1072"/>
        <w:gridCol w:w="10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Upload &amp;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Speech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Similarity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Feature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Comprehension Scoring &amp;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32</w:t>
            </w:r>
          </w:p>
        </w:tc>
      </w:tr>
    </w:tbl>
    <w:p>
      <w:pPr>
        <w:pStyle w:val="BodyText"/>
      </w:pPr>
      <w:r>
        <w:rPr>
          <w:i/>
          <w:iCs/>
        </w:rPr>
        <w:t xml:space="preserve">Automated coverage: 32/32 pytest unit tests passing (</w:t>
      </w:r>
      <w:r>
        <w:rPr>
          <w:rStyle w:val="VerbatimChar"/>
        </w:rPr>
        <w:t xml:space="preserve">scoring_engine</w:t>
      </w:r>
      <w:r>
        <w:rPr>
          <w:i/>
          <w:iCs/>
        </w:rPr>
        <w:t xml:space="preserve">,</w:t>
      </w:r>
      <w:r>
        <w:t xml:space="preserve"> </w:t>
      </w:r>
      <w:r>
        <w:rPr>
          <w:rStyle w:val="VerbatimChar"/>
        </w:rPr>
        <w:t xml:space="preserve">semantic_eval</w:t>
      </w:r>
      <w:r>
        <w:rPr>
          <w:i/>
          <w:iCs/>
        </w:rPr>
        <w:t xml:space="preserve">,</w:t>
      </w:r>
      <w:r>
        <w:t xml:space="preserve"> </w:t>
      </w:r>
      <w:r>
        <w:rPr>
          <w:rStyle w:val="VerbatimChar"/>
        </w:rPr>
        <w:t xml:space="preserve">speech_to_text</w:t>
      </w:r>
      <w:r>
        <w:rPr>
          <w:i/>
          <w:iCs/>
        </w:rPr>
        <w:t xml:space="preserve">,</w:t>
      </w:r>
      <w:r>
        <w:t xml:space="preserve"> </w:t>
      </w:r>
      <w:r>
        <w:rPr>
          <w:rStyle w:val="VerbatimChar"/>
        </w:rPr>
        <w:t xml:space="preserve">audio_utils</w:t>
      </w:r>
      <w:r>
        <w:rPr>
          <w:i/>
          <w:iCs/>
        </w:rPr>
        <w:t xml:space="preserve">,</w:t>
      </w:r>
      <w:r>
        <w:t xml:space="preserve"> </w:t>
      </w:r>
      <w:r>
        <w:rPr>
          <w:rStyle w:val="VerbatimChar"/>
        </w:rPr>
        <w:t xml:space="preserve">reference_concepts</w:t>
      </w:r>
      <w:r>
        <w:rPr>
          <w:i/>
          <w:iCs/>
        </w:rPr>
        <w:t xml:space="preserve">,</w:t>
      </w:r>
      <w:r>
        <w:t xml:space="preserve"> </w:t>
      </w:r>
      <w:r>
        <w:rPr>
          <w:rStyle w:val="VerbatimChar"/>
        </w:rPr>
        <w:t xml:space="preserve">report_generator</w:t>
      </w:r>
      <w:r>
        <w:rPr>
          <w:i/>
          <w:iCs/>
        </w:rPr>
        <w:t xml:space="preserve">), supplemented by manual UAT scenarios TC-001 through TC-005 (see</w:t>
      </w:r>
      <w:r>
        <w:rPr>
          <w:i/>
          <w:iCs/>
        </w:rPr>
        <w:t xml:space="preserve"> </w:t>
      </w:r>
      <w:r>
        <w:rPr>
          <w:i/>
          <w:iCs/>
        </w:rPr>
        <w:t xml:space="preserve">“User Acceptance Testing FSD”</w:t>
      </w:r>
      <w:r>
        <w:rPr>
          <w:i/>
          <w:iCs/>
        </w:rPr>
        <w:t xml:space="preserve"> </w:t>
      </w:r>
      <w:r>
        <w:rPr>
          <w:i/>
          <w:iCs/>
        </w:rPr>
        <w:t xml:space="preserve">in the Performance Testing folder).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