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CellMar>
          <w:left w:w="70" w:type="dxa"/>
          <w:right w:w="70" w:type="dxa"/>
        </w:tblCellMar>
        <w:tblLook w:val="04A0" w:firstRow="1" w:lastRow="0" w:firstColumn="1" w:lastColumn="0" w:noHBand="0" w:noVBand="1"/>
      </w:tblPr>
      <w:tblGrid>
        <w:gridCol w:w="960"/>
        <w:gridCol w:w="2140"/>
        <w:gridCol w:w="9060"/>
        <w:gridCol w:w="3040"/>
      </w:tblGrid>
      <w:tr w:rsidR="0050336B" w:rsidRPr="0050336B" w14:paraId="4DC6EF11" w14:textId="77777777" w:rsidTr="0050336B">
        <w:trPr>
          <w:trHeight w:val="300"/>
        </w:trPr>
        <w:tc>
          <w:tcPr>
            <w:tcW w:w="960" w:type="dxa"/>
            <w:tcBorders>
              <w:top w:val="nil"/>
              <w:left w:val="nil"/>
              <w:bottom w:val="nil"/>
              <w:right w:val="nil"/>
            </w:tcBorders>
            <w:noWrap/>
            <w:vAlign w:val="bottom"/>
            <w:hideMark/>
          </w:tcPr>
          <w:p w14:paraId="5AA64672" w14:textId="77777777" w:rsidR="0050336B" w:rsidRPr="0050336B" w:rsidRDefault="0050336B" w:rsidP="0050336B">
            <w:pPr>
              <w:spacing w:after="0" w:line="240" w:lineRule="auto"/>
              <w:rPr>
                <w:rFonts w:ascii="Times New Roman" w:eastAsia="Times New Roman" w:hAnsi="Times New Roman" w:cs="Times New Roman"/>
                <w:kern w:val="0"/>
                <w:sz w:val="24"/>
                <w:szCs w:val="24"/>
                <w:lang w:eastAsia="tr-TR"/>
                <w14:ligatures w14:val="none"/>
              </w:rPr>
            </w:pPr>
          </w:p>
        </w:tc>
        <w:tc>
          <w:tcPr>
            <w:tcW w:w="2140" w:type="dxa"/>
            <w:tcBorders>
              <w:top w:val="nil"/>
              <w:left w:val="nil"/>
              <w:bottom w:val="nil"/>
              <w:right w:val="nil"/>
            </w:tcBorders>
            <w:noWrap/>
            <w:vAlign w:val="bottom"/>
            <w:hideMark/>
          </w:tcPr>
          <w:p w14:paraId="37E9784E" w14:textId="77777777" w:rsidR="0050336B" w:rsidRPr="0050336B" w:rsidRDefault="0050336B" w:rsidP="0050336B">
            <w:pPr>
              <w:spacing w:after="0" w:line="240" w:lineRule="auto"/>
              <w:rPr>
                <w:rFonts w:ascii="Times New Roman" w:eastAsia="Times New Roman" w:hAnsi="Times New Roman" w:cs="Times New Roman"/>
                <w:kern w:val="0"/>
                <w:sz w:val="20"/>
                <w:szCs w:val="20"/>
                <w:lang w:eastAsia="tr-TR"/>
                <w14:ligatures w14:val="none"/>
              </w:rPr>
            </w:pPr>
          </w:p>
        </w:tc>
        <w:tc>
          <w:tcPr>
            <w:tcW w:w="9060" w:type="dxa"/>
            <w:tcBorders>
              <w:top w:val="nil"/>
              <w:left w:val="nil"/>
              <w:bottom w:val="nil"/>
              <w:right w:val="nil"/>
            </w:tcBorders>
            <w:noWrap/>
            <w:vAlign w:val="bottom"/>
            <w:hideMark/>
          </w:tcPr>
          <w:p w14:paraId="12B9099A" w14:textId="77777777" w:rsidR="0050336B" w:rsidRPr="0050336B" w:rsidRDefault="0050336B" w:rsidP="0050336B">
            <w:pPr>
              <w:spacing w:after="0" w:line="240" w:lineRule="auto"/>
              <w:rPr>
                <w:rFonts w:ascii="Times New Roman" w:eastAsia="Times New Roman" w:hAnsi="Times New Roman" w:cs="Times New Roman"/>
                <w:kern w:val="0"/>
                <w:sz w:val="20"/>
                <w:szCs w:val="20"/>
                <w:lang w:eastAsia="tr-TR"/>
                <w14:ligatures w14:val="none"/>
              </w:rPr>
            </w:pPr>
          </w:p>
        </w:tc>
        <w:tc>
          <w:tcPr>
            <w:tcW w:w="3040" w:type="dxa"/>
            <w:tcBorders>
              <w:top w:val="nil"/>
              <w:left w:val="nil"/>
              <w:bottom w:val="nil"/>
              <w:right w:val="nil"/>
            </w:tcBorders>
            <w:noWrap/>
            <w:vAlign w:val="bottom"/>
            <w:hideMark/>
          </w:tcPr>
          <w:p w14:paraId="5FB21470" w14:textId="77777777" w:rsidR="0050336B" w:rsidRPr="0050336B" w:rsidRDefault="0050336B" w:rsidP="0050336B">
            <w:pPr>
              <w:spacing w:after="0" w:line="240" w:lineRule="auto"/>
              <w:rPr>
                <w:rFonts w:ascii="Times New Roman" w:eastAsia="Times New Roman" w:hAnsi="Times New Roman" w:cs="Times New Roman"/>
                <w:kern w:val="0"/>
                <w:sz w:val="20"/>
                <w:szCs w:val="20"/>
                <w:lang w:eastAsia="tr-TR"/>
                <w14:ligatures w14:val="none"/>
              </w:rPr>
            </w:pPr>
          </w:p>
        </w:tc>
      </w:tr>
      <w:tr w:rsidR="0050336B" w:rsidRPr="0050336B" w14:paraId="241C0F10" w14:textId="77777777" w:rsidTr="0050336B">
        <w:trPr>
          <w:trHeight w:val="8190"/>
        </w:trPr>
        <w:tc>
          <w:tcPr>
            <w:tcW w:w="960" w:type="dxa"/>
            <w:tcBorders>
              <w:top w:val="nil"/>
              <w:left w:val="nil"/>
              <w:bottom w:val="nil"/>
              <w:right w:val="nil"/>
            </w:tcBorders>
            <w:noWrap/>
            <w:vAlign w:val="center"/>
            <w:hideMark/>
          </w:tcPr>
          <w:p w14:paraId="63CE4BF8" w14:textId="77777777" w:rsidR="0050336B" w:rsidRPr="0050336B" w:rsidRDefault="0050336B" w:rsidP="0050336B">
            <w:pPr>
              <w:spacing w:after="0" w:line="240" w:lineRule="auto"/>
              <w:rPr>
                <w:rFonts w:ascii="Times New Roman" w:eastAsia="Times New Roman" w:hAnsi="Times New Roman" w:cs="Times New Roman"/>
                <w:kern w:val="0"/>
                <w:sz w:val="20"/>
                <w:szCs w:val="20"/>
                <w:lang w:eastAsia="tr-TR"/>
                <w14:ligatures w14:val="none"/>
              </w:rPr>
            </w:pPr>
          </w:p>
        </w:tc>
        <w:tc>
          <w:tcPr>
            <w:tcW w:w="2140" w:type="dxa"/>
            <w:tcBorders>
              <w:top w:val="nil"/>
              <w:left w:val="nil"/>
              <w:bottom w:val="nil"/>
              <w:right w:val="nil"/>
            </w:tcBorders>
            <w:vAlign w:val="center"/>
            <w:hideMark/>
          </w:tcPr>
          <w:p w14:paraId="7C455F67" w14:textId="77777777" w:rsidR="0050336B" w:rsidRPr="0050336B" w:rsidRDefault="0050336B" w:rsidP="0050336B">
            <w:pPr>
              <w:spacing w:after="0" w:line="240" w:lineRule="auto"/>
              <w:jc w:val="center"/>
              <w:rPr>
                <w:rFonts w:ascii="Calibri" w:eastAsia="Times New Roman" w:hAnsi="Calibri" w:cs="Calibri"/>
                <w:color w:val="000000"/>
                <w:kern w:val="0"/>
                <w:lang w:eastAsia="tr-TR"/>
                <w14:ligatures w14:val="none"/>
              </w:rPr>
            </w:pPr>
            <w:r w:rsidRPr="0050336B">
              <w:rPr>
                <w:rFonts w:ascii="Calibri" w:eastAsia="Times New Roman" w:hAnsi="Calibri" w:cs="Calibri"/>
                <w:color w:val="000000"/>
                <w:kern w:val="0"/>
                <w:lang w:eastAsia="tr-TR"/>
                <w14:ligatures w14:val="none"/>
              </w:rPr>
              <w:t>Sözleşme Aşaması</w:t>
            </w:r>
          </w:p>
        </w:tc>
        <w:tc>
          <w:tcPr>
            <w:tcW w:w="9060" w:type="dxa"/>
            <w:tcBorders>
              <w:top w:val="nil"/>
              <w:left w:val="nil"/>
              <w:bottom w:val="nil"/>
              <w:right w:val="nil"/>
            </w:tcBorders>
            <w:vAlign w:val="center"/>
            <w:hideMark/>
          </w:tcPr>
          <w:p w14:paraId="0C69EB5B" w14:textId="77777777" w:rsidR="0050336B" w:rsidRPr="0050336B" w:rsidRDefault="0050336B" w:rsidP="0050336B">
            <w:pPr>
              <w:spacing w:after="0" w:line="240" w:lineRule="auto"/>
              <w:rPr>
                <w:rFonts w:ascii="Calibri" w:eastAsia="Times New Roman" w:hAnsi="Calibri" w:cs="Calibri"/>
                <w:color w:val="000000"/>
                <w:kern w:val="0"/>
                <w:lang w:eastAsia="tr-TR"/>
                <w14:ligatures w14:val="none"/>
              </w:rPr>
            </w:pPr>
            <w:r w:rsidRPr="0050336B">
              <w:rPr>
                <w:rFonts w:ascii="Calibri" w:eastAsia="Times New Roman" w:hAnsi="Calibri" w:cs="Calibri"/>
                <w:color w:val="000000"/>
                <w:kern w:val="0"/>
                <w:lang w:eastAsia="tr-TR"/>
                <w14:ligatures w14:val="none"/>
              </w:rPr>
              <w:t>İstekli sözleşmeyi imzalamadan önce;</w:t>
            </w:r>
            <w:r w:rsidRPr="0050336B">
              <w:rPr>
                <w:rFonts w:ascii="Calibri" w:eastAsia="Times New Roman" w:hAnsi="Calibri" w:cs="Calibri"/>
                <w:color w:val="000000"/>
                <w:kern w:val="0"/>
                <w:lang w:eastAsia="tr-TR"/>
                <w14:ligatures w14:val="none"/>
              </w:rPr>
              <w:br/>
              <w:t>- İhale tarihi itibariyle, 4734 sayılı Kanunun 10 uncu maddesinin dördüncü fıkrasının a, b, c, d, e ve g bentlerinde sayılan durumlarda olmadığına dair belgeleri,</w:t>
            </w:r>
            <w:r w:rsidRPr="0050336B">
              <w:rPr>
                <w:rFonts w:ascii="Calibri" w:eastAsia="Times New Roman" w:hAnsi="Calibri" w:cs="Calibri"/>
                <w:color w:val="000000"/>
                <w:kern w:val="0"/>
                <w:lang w:eastAsia="tr-TR"/>
                <w14:ligatures w14:val="none"/>
              </w:rPr>
              <w:br/>
              <w:t>- İhale kararı damga vergisinin yatırıldığına dair dekontu (İhale bedelinin %09,48 oranı üzerinden)</w:t>
            </w:r>
            <w:r w:rsidRPr="0050336B">
              <w:rPr>
                <w:rFonts w:ascii="Calibri" w:eastAsia="Times New Roman" w:hAnsi="Calibri" w:cs="Calibri"/>
                <w:color w:val="000000"/>
                <w:kern w:val="0"/>
                <w:lang w:eastAsia="tr-TR"/>
                <w14:ligatures w14:val="none"/>
              </w:rPr>
              <w:br/>
              <w:t>- Sözleşme damga vergisinin yatırıldığına dair dekontu (İhale bedelinin %09,48 oranı üzerinden)</w:t>
            </w:r>
            <w:r w:rsidRPr="0050336B">
              <w:rPr>
                <w:rFonts w:ascii="Calibri" w:eastAsia="Times New Roman" w:hAnsi="Calibri" w:cs="Calibri"/>
                <w:color w:val="000000"/>
                <w:kern w:val="0"/>
                <w:lang w:eastAsia="tr-TR"/>
                <w14:ligatures w14:val="none"/>
              </w:rPr>
              <w:br/>
              <w:t>- KİK payı vergisini yatırıldığına dair dekontu ( 20... yılı için ......,00 TL’yi aşan durumlarda İhale bedelinin %005 oranı üzerinden )</w:t>
            </w:r>
            <w:r w:rsidRPr="0050336B">
              <w:rPr>
                <w:rFonts w:ascii="Calibri" w:eastAsia="Times New Roman" w:hAnsi="Calibri" w:cs="Calibri"/>
                <w:color w:val="000000"/>
                <w:kern w:val="0"/>
                <w:lang w:eastAsia="tr-TR"/>
                <w14:ligatures w14:val="none"/>
              </w:rPr>
              <w:br/>
              <w:t>- Kesin teminata ilişkin belgeyi (nakit ise dekontu, mektup ise standart forma ve geçerlilik süresine uygun kesin teminat mektubu ve teminat mektubu teyit belgesi)</w:t>
            </w:r>
            <w:r w:rsidRPr="0050336B">
              <w:rPr>
                <w:rFonts w:ascii="Calibri" w:eastAsia="Times New Roman" w:hAnsi="Calibri" w:cs="Calibri"/>
                <w:color w:val="000000"/>
                <w:kern w:val="0"/>
                <w:lang w:eastAsia="tr-TR"/>
                <w14:ligatures w14:val="none"/>
              </w:rPr>
              <w:br/>
              <w:t>(Teklif fiyatının sınır değere eşit veya üzerinde olması halinde teklif fiyatının % 6’sı, sınır değerin altında olması halinde ise yaklaşık maliyetin % 9’u oranında kesin teminat alınır. Kısmi teklif verilmesine imkan tanınan ihalelerde, tek bir sözleşmeye konu olacak kısımların herhangi birisi veya birkaçı için teklif edilen fiyatın, ilgili kısım için hesaplanan sınır değerin altında olması halinde alınacak kesin teminat tutarı, isteklinin sınır değerin altında teklif sunmuş olduğu kısma veya kısımlara ilişkin yaklaşık maliyetin % 9’u, sözleşmeye konu diğer kısma veya kısımlara ilişkin teklif fiyatının ise % 6’sı oranında hesaplanır ve bu tutarların toplamı kadar kesin teminat olarak alınır.)</w:t>
            </w:r>
            <w:r w:rsidRPr="0050336B">
              <w:rPr>
                <w:rFonts w:ascii="Calibri" w:eastAsia="Times New Roman" w:hAnsi="Calibri" w:cs="Calibri"/>
                <w:color w:val="000000"/>
                <w:kern w:val="0"/>
                <w:lang w:eastAsia="tr-TR"/>
                <w14:ligatures w14:val="none"/>
              </w:rPr>
              <w:br/>
              <w:t>- Vekaleten imzalıyorsa vekaletnameyi idareye ibraz etmek durumundadır.</w:t>
            </w:r>
            <w:r w:rsidRPr="0050336B">
              <w:rPr>
                <w:rFonts w:ascii="Calibri" w:eastAsia="Times New Roman" w:hAnsi="Calibri" w:cs="Calibri"/>
                <w:color w:val="000000"/>
                <w:kern w:val="0"/>
                <w:lang w:eastAsia="tr-TR"/>
                <w14:ligatures w14:val="none"/>
              </w:rPr>
              <w:br/>
              <w:t>- İlgili belgeler kontrol edildikten sonra, -Sözleşme Tasarısı- başlığı -Sözleşme olarak değiştirilir. İdarenin ve yüklenicinin bilgilerine ilişkin boş bırakılmış bölümleri ile kesin teminata ilişkin bilgileri doldurularak sözleşme, imzaya hazır hale getirilir.</w:t>
            </w:r>
            <w:r w:rsidRPr="0050336B">
              <w:rPr>
                <w:rFonts w:ascii="Calibri" w:eastAsia="Times New Roman" w:hAnsi="Calibri" w:cs="Calibri"/>
                <w:color w:val="000000"/>
                <w:kern w:val="0"/>
                <w:lang w:eastAsia="tr-TR"/>
                <w14:ligatures w14:val="none"/>
              </w:rPr>
              <w:br/>
              <w:t xml:space="preserve">- İmzaya sunulmadan önce EKAP sistemi üzerinden yeniden yasaklılık teyitleri </w:t>
            </w:r>
            <w:proofErr w:type="gramStart"/>
            <w:r w:rsidRPr="0050336B">
              <w:rPr>
                <w:rFonts w:ascii="Calibri" w:eastAsia="Times New Roman" w:hAnsi="Calibri" w:cs="Calibri"/>
                <w:color w:val="000000"/>
                <w:kern w:val="0"/>
                <w:lang w:eastAsia="tr-TR"/>
                <w14:ligatures w14:val="none"/>
              </w:rPr>
              <w:t>alınır.(</w:t>
            </w:r>
            <w:proofErr w:type="gramEnd"/>
            <w:r w:rsidRPr="0050336B">
              <w:rPr>
                <w:rFonts w:ascii="Calibri" w:eastAsia="Times New Roman" w:hAnsi="Calibri" w:cs="Calibri"/>
                <w:color w:val="000000"/>
                <w:kern w:val="0"/>
                <w:lang w:eastAsia="tr-TR"/>
                <w14:ligatures w14:val="none"/>
              </w:rPr>
              <w:t>Yüklenici, sermaye şirketi ortaklarından %50’den fazla hisseye sahip olan ve vekaleten imzalayan kişiye ait)</w:t>
            </w:r>
            <w:r w:rsidRPr="0050336B">
              <w:rPr>
                <w:rFonts w:ascii="Calibri" w:eastAsia="Times New Roman" w:hAnsi="Calibri" w:cs="Calibri"/>
                <w:color w:val="000000"/>
                <w:kern w:val="0"/>
                <w:lang w:eastAsia="tr-TR"/>
                <w14:ligatures w14:val="none"/>
              </w:rPr>
              <w:br/>
              <w:t>- Üzerine ihale bırakılan istekliye, sözleşmenin her sayfası imzalatılır. Ayrıca, istekli sözleşmenin son sayfasında yer alan “YÜKLENİCİ” ibaresinin altını da firma kaşesi basmak suretiyle imzalamış olmalıdır. Yüklenici tarafından imzalanan sözleşme aynı şekilde ihale yetkilisince imzalanır.</w:t>
            </w:r>
          </w:p>
        </w:tc>
        <w:tc>
          <w:tcPr>
            <w:tcW w:w="3040" w:type="dxa"/>
            <w:tcBorders>
              <w:top w:val="nil"/>
              <w:left w:val="nil"/>
              <w:bottom w:val="nil"/>
              <w:right w:val="nil"/>
            </w:tcBorders>
            <w:vAlign w:val="center"/>
            <w:hideMark/>
          </w:tcPr>
          <w:p w14:paraId="5676BC21" w14:textId="77777777" w:rsidR="0050336B" w:rsidRPr="0050336B" w:rsidRDefault="0050336B" w:rsidP="0050336B">
            <w:pPr>
              <w:spacing w:after="0" w:line="240" w:lineRule="auto"/>
              <w:rPr>
                <w:rFonts w:ascii="Calibri" w:eastAsia="Times New Roman" w:hAnsi="Calibri" w:cs="Calibri"/>
                <w:color w:val="FF0000"/>
                <w:kern w:val="0"/>
                <w:lang w:eastAsia="tr-TR"/>
                <w14:ligatures w14:val="none"/>
              </w:rPr>
            </w:pPr>
            <w:r w:rsidRPr="0050336B">
              <w:rPr>
                <w:rFonts w:ascii="Calibri" w:eastAsia="Times New Roman" w:hAnsi="Calibri" w:cs="Calibri"/>
                <w:color w:val="FF0000"/>
                <w:kern w:val="0"/>
                <w:lang w:eastAsia="tr-TR"/>
                <w14:ligatures w14:val="none"/>
              </w:rPr>
              <w:t>(EKAP İşlem: Destek Hizmetleri Dairesi Başkanlığı-Fen İşleri Dairesi Başkanlığı)</w:t>
            </w:r>
          </w:p>
        </w:tc>
      </w:tr>
    </w:tbl>
    <w:p w14:paraId="7E689431" w14:textId="77777777" w:rsidR="001567CF" w:rsidRDefault="001567CF"/>
    <w:sectPr w:rsidR="001567CF" w:rsidSect="00923E42">
      <w:pgSz w:w="16838" w:h="11906" w:orient="landscape"/>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9BA"/>
    <w:rsid w:val="000A59BA"/>
    <w:rsid w:val="001567CF"/>
    <w:rsid w:val="0050336B"/>
    <w:rsid w:val="00511C18"/>
    <w:rsid w:val="00923E42"/>
    <w:rsid w:val="00CA3CD4"/>
    <w:rsid w:val="00E545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C7F81B-26F7-4C48-A889-571386249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A5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A5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A59B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A59B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A59B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A59B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A59B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A59B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A59B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A59B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A59B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A59B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A59B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A59B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A59B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A59B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A59B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A59BA"/>
    <w:rPr>
      <w:rFonts w:eastAsiaTheme="majorEastAsia" w:cstheme="majorBidi"/>
      <w:color w:val="272727" w:themeColor="text1" w:themeTint="D8"/>
    </w:rPr>
  </w:style>
  <w:style w:type="paragraph" w:styleId="KonuBal">
    <w:name w:val="Title"/>
    <w:basedOn w:val="Normal"/>
    <w:next w:val="Normal"/>
    <w:link w:val="KonuBalChar"/>
    <w:uiPriority w:val="10"/>
    <w:qFormat/>
    <w:rsid w:val="000A5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A59B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A59B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A59B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A59B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A59BA"/>
    <w:rPr>
      <w:i/>
      <w:iCs/>
      <w:color w:val="404040" w:themeColor="text1" w:themeTint="BF"/>
    </w:rPr>
  </w:style>
  <w:style w:type="paragraph" w:styleId="ListeParagraf">
    <w:name w:val="List Paragraph"/>
    <w:basedOn w:val="Normal"/>
    <w:uiPriority w:val="34"/>
    <w:qFormat/>
    <w:rsid w:val="000A59BA"/>
    <w:pPr>
      <w:ind w:left="720"/>
      <w:contextualSpacing/>
    </w:pPr>
  </w:style>
  <w:style w:type="character" w:styleId="GlVurgulama">
    <w:name w:val="Intense Emphasis"/>
    <w:basedOn w:val="VarsaylanParagrafYazTipi"/>
    <w:uiPriority w:val="21"/>
    <w:qFormat/>
    <w:rsid w:val="000A59BA"/>
    <w:rPr>
      <w:i/>
      <w:iCs/>
      <w:color w:val="2F5496" w:themeColor="accent1" w:themeShade="BF"/>
    </w:rPr>
  </w:style>
  <w:style w:type="paragraph" w:styleId="GlAlnt">
    <w:name w:val="Intense Quote"/>
    <w:basedOn w:val="Normal"/>
    <w:next w:val="Normal"/>
    <w:link w:val="GlAlntChar"/>
    <w:uiPriority w:val="30"/>
    <w:qFormat/>
    <w:rsid w:val="000A5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A59BA"/>
    <w:rPr>
      <w:i/>
      <w:iCs/>
      <w:color w:val="2F5496" w:themeColor="accent1" w:themeShade="BF"/>
    </w:rPr>
  </w:style>
  <w:style w:type="character" w:styleId="GlBavuru">
    <w:name w:val="Intense Reference"/>
    <w:basedOn w:val="VarsaylanParagrafYazTipi"/>
    <w:uiPriority w:val="32"/>
    <w:qFormat/>
    <w:rsid w:val="000A59BA"/>
    <w:rPr>
      <w:b/>
      <w:bCs/>
      <w:smallCaps/>
      <w:color w:val="2F5496" w:themeColor="accent1" w:themeShade="BF"/>
      <w:spacing w:val="5"/>
    </w:rPr>
  </w:style>
  <w:style w:type="character" w:styleId="Kpr">
    <w:name w:val="Hyperlink"/>
    <w:basedOn w:val="VarsaylanParagrafYazTipi"/>
    <w:uiPriority w:val="99"/>
    <w:semiHidden/>
    <w:unhideWhenUsed/>
    <w:rsid w:val="00923E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2026-07-09T10:37:00Z</dcterms:created>
  <dcterms:modified xsi:type="dcterms:W3CDTF">2026-07-09T10:39:00Z</dcterms:modified>
</cp:coreProperties>
</file>