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2AAFE" w14:textId="31A6AD82" w:rsidR="00575A42" w:rsidRDefault="00575A42" w:rsidP="00575A42">
      <w:pPr>
        <w:jc w:val="center"/>
        <w:rPr>
          <w:rFonts w:ascii="Times New Roman" w:hAnsi="Times New Roman" w:cs="Times New Roman"/>
          <w:sz w:val="28"/>
          <w:szCs w:val="28"/>
        </w:rPr>
      </w:pPr>
      <w:r w:rsidRPr="00575A42">
        <w:rPr>
          <w:rFonts w:ascii="Times New Roman" w:hAnsi="Times New Roman" w:cs="Times New Roman"/>
          <w:sz w:val="28"/>
          <w:szCs w:val="28"/>
        </w:rPr>
        <w:t>Supplementary Materials</w:t>
      </w:r>
    </w:p>
    <w:p w14:paraId="640E773D" w14:textId="7726BD05" w:rsidR="0093199D" w:rsidRPr="00A65545" w:rsidRDefault="003D7E10" w:rsidP="003D7E10">
      <w:pPr>
        <w:rPr>
          <w:rFonts w:ascii="Times New Roman" w:hAnsi="Times New Roman" w:cs="Times New Roman"/>
        </w:rPr>
      </w:pPr>
      <w:r w:rsidRPr="00A65545">
        <w:rPr>
          <w:rFonts w:ascii="Times New Roman" w:hAnsi="Times New Roman" w:cs="Times New Roman"/>
          <w:b/>
          <w:bCs/>
        </w:rPr>
        <w:t>Supplementary Table 1</w:t>
      </w:r>
      <w:r w:rsidRPr="00A65545">
        <w:rPr>
          <w:rFonts w:ascii="Times New Roman" w:hAnsi="Times New Roman" w:cs="Times New Roman"/>
        </w:rPr>
        <w:t>. Model specification for recurrent ALRI analysis</w:t>
      </w:r>
    </w:p>
    <w:tbl>
      <w:tblPr>
        <w:tblStyle w:val="TableGrid"/>
        <w:tblW w:w="9586" w:type="dxa"/>
        <w:tblBorders>
          <w:top w:val="single" w:sz="6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1"/>
        <w:gridCol w:w="6945"/>
      </w:tblGrid>
      <w:tr w:rsidR="00533B4B" w:rsidRPr="00A65545" w14:paraId="6C451991" w14:textId="77777777" w:rsidTr="007D5246">
        <w:tc>
          <w:tcPr>
            <w:tcW w:w="2641" w:type="dxa"/>
            <w:tcBorders>
              <w:bottom w:val="single" w:sz="6" w:space="0" w:color="auto"/>
            </w:tcBorders>
          </w:tcPr>
          <w:p w14:paraId="486C393A" w14:textId="0A7914BC" w:rsidR="00533B4B" w:rsidRPr="004941E3" w:rsidRDefault="00533B4B" w:rsidP="003D7E10">
            <w:pPr>
              <w:rPr>
                <w:rFonts w:ascii="Times New Roman" w:hAnsi="Times New Roman" w:cs="Times New Roman"/>
                <w:b/>
                <w:bCs/>
              </w:rPr>
            </w:pPr>
            <w:r w:rsidRPr="004941E3">
              <w:rPr>
                <w:rFonts w:ascii="Times New Roman" w:hAnsi="Times New Roman" w:cs="Times New Roman"/>
                <w:b/>
                <w:bCs/>
              </w:rPr>
              <w:t>Model</w:t>
            </w:r>
            <w:r w:rsidR="00DA4C30" w:rsidRPr="004941E3">
              <w:rPr>
                <w:rFonts w:ascii="Times New Roman" w:hAnsi="Times New Roman" w:cs="Times New Roman"/>
                <w:b/>
                <w:bCs/>
              </w:rPr>
              <w:t>s</w:t>
            </w:r>
          </w:p>
        </w:tc>
        <w:tc>
          <w:tcPr>
            <w:tcW w:w="6945" w:type="dxa"/>
            <w:tcBorders>
              <w:bottom w:val="single" w:sz="6" w:space="0" w:color="auto"/>
            </w:tcBorders>
          </w:tcPr>
          <w:p w14:paraId="7ADC30B2" w14:textId="621D305C" w:rsidR="00533B4B" w:rsidRPr="004941E3" w:rsidRDefault="00533B4B" w:rsidP="003D7E10">
            <w:pPr>
              <w:rPr>
                <w:rFonts w:ascii="Times New Roman" w:hAnsi="Times New Roman" w:cs="Times New Roman"/>
                <w:b/>
                <w:bCs/>
              </w:rPr>
            </w:pPr>
            <w:r w:rsidRPr="004941E3">
              <w:rPr>
                <w:rFonts w:ascii="Times New Roman" w:hAnsi="Times New Roman" w:cs="Times New Roman"/>
                <w:b/>
                <w:bCs/>
              </w:rPr>
              <w:t>Equation</w:t>
            </w:r>
            <w:r w:rsidR="00DA4C30" w:rsidRPr="004941E3">
              <w:rPr>
                <w:rFonts w:ascii="Times New Roman" w:hAnsi="Times New Roman" w:cs="Times New Roman"/>
                <w:b/>
                <w:bCs/>
              </w:rPr>
              <w:t>s</w:t>
            </w:r>
          </w:p>
        </w:tc>
      </w:tr>
      <w:tr w:rsidR="00533B4B" w:rsidRPr="00A65545" w14:paraId="0239BCC8" w14:textId="77777777" w:rsidTr="007D5246">
        <w:tc>
          <w:tcPr>
            <w:tcW w:w="2641" w:type="dxa"/>
            <w:tcBorders>
              <w:top w:val="single" w:sz="6" w:space="0" w:color="auto"/>
              <w:bottom w:val="nil"/>
            </w:tcBorders>
          </w:tcPr>
          <w:p w14:paraId="31F2C816" w14:textId="3D2DB473" w:rsidR="00533B4B" w:rsidRPr="00A65545" w:rsidRDefault="00DA4C30" w:rsidP="003D7E10">
            <w:pPr>
              <w:rPr>
                <w:rFonts w:ascii="Times New Roman" w:hAnsi="Times New Roman" w:cs="Times New Roman"/>
              </w:rPr>
            </w:pPr>
            <w:r w:rsidRPr="00A65545">
              <w:rPr>
                <w:rFonts w:ascii="Times New Roman" w:hAnsi="Times New Roman" w:cs="Times New Roman"/>
              </w:rPr>
              <w:t>Primary Andersen-Gill Model (7-day lag PM</w:t>
            </w:r>
            <w:r w:rsidRPr="00A65545">
              <w:rPr>
                <w:rFonts w:ascii="Times New Roman" w:hAnsi="Times New Roman" w:cs="Times New Roman"/>
                <w:vertAlign w:val="subscript"/>
              </w:rPr>
              <w:t>2.5</w:t>
            </w:r>
            <w:r w:rsidRPr="00A65545">
              <w:rPr>
                <w:rFonts w:ascii="Times New Roman" w:hAnsi="Times New Roman" w:cs="Times New Roman"/>
              </w:rPr>
              <w:t>, piecewise linear)</w:t>
            </w:r>
          </w:p>
        </w:tc>
        <w:tc>
          <w:tcPr>
            <w:tcW w:w="6945" w:type="dxa"/>
            <w:tcBorders>
              <w:top w:val="single" w:sz="6" w:space="0" w:color="auto"/>
              <w:bottom w:val="nil"/>
            </w:tcBorders>
          </w:tcPr>
          <w:p w14:paraId="7EE46F66" w14:textId="51D75DCF" w:rsidR="00073DEC" w:rsidRPr="00A65545" w:rsidRDefault="00D22361" w:rsidP="00D22361">
            <w:pPr>
              <w:rPr>
                <w:rFonts w:ascii="Times New Roman" w:hAnsi="Times New Roman" w:cs="Times New Roman"/>
                <w:i/>
              </w:rPr>
            </w:pPr>
            <w:r w:rsidRPr="00A65545">
              <w:rPr>
                <w:rFonts w:ascii="Times New Roman" w:hAnsi="Times New Roman" w:cs="Times New Roman"/>
                <w:i/>
              </w:rPr>
              <w:t xml:space="preserve">h(t) = h₀(t) exp(β₁ PM₂.₅⁷ᵈ + β₂ sex + β₃ </w:t>
            </w:r>
            <w:r w:rsidR="0081568F">
              <w:rPr>
                <w:rFonts w:ascii="Times New Roman" w:hAnsi="Times New Roman" w:cs="Times New Roman" w:hint="eastAsia"/>
                <w:i/>
              </w:rPr>
              <w:t xml:space="preserve">study </w:t>
            </w:r>
            <w:r w:rsidRPr="00A65545">
              <w:rPr>
                <w:rFonts w:ascii="Times New Roman" w:hAnsi="Times New Roman" w:cs="Times New Roman"/>
                <w:i/>
              </w:rPr>
              <w:t>area + β₄ maternal height (IQR) + β₅ tobacco consumption + β₆ birth weight (IQR) + β₇ biomass fuel use + β₈ diarrhea + β₉ sanitary toilet + β₁₀ maternal age category + β₁₁ kitchen location + β₁₂ small for gestational age + β₁₃ children under five at home + β₁₄ baby given other liquids before breast milk + β₁₅ season)</w:t>
            </w:r>
          </w:p>
          <w:p w14:paraId="49F2C9EF" w14:textId="46A40B2C" w:rsidR="00D22361" w:rsidRPr="00A65545" w:rsidRDefault="00D22361" w:rsidP="00D22361">
            <w:pPr>
              <w:rPr>
                <w:rFonts w:ascii="Times New Roman" w:hAnsi="Times New Roman" w:cs="Times New Roman"/>
                <w:i/>
              </w:rPr>
            </w:pPr>
          </w:p>
        </w:tc>
      </w:tr>
      <w:tr w:rsidR="00533B4B" w:rsidRPr="00A65545" w14:paraId="74D36454" w14:textId="77777777" w:rsidTr="007D5246">
        <w:tc>
          <w:tcPr>
            <w:tcW w:w="2641" w:type="dxa"/>
            <w:tcBorders>
              <w:top w:val="nil"/>
              <w:bottom w:val="single" w:sz="4" w:space="0" w:color="auto"/>
            </w:tcBorders>
          </w:tcPr>
          <w:p w14:paraId="7C0BE7CB" w14:textId="286203BD" w:rsidR="00533B4B" w:rsidRPr="00A65545" w:rsidRDefault="00DA4C30" w:rsidP="003D7E10">
            <w:pPr>
              <w:rPr>
                <w:rFonts w:ascii="Times New Roman" w:hAnsi="Times New Roman" w:cs="Times New Roman"/>
              </w:rPr>
            </w:pPr>
            <w:r w:rsidRPr="00A65545">
              <w:rPr>
                <w:rFonts w:ascii="Times New Roman" w:hAnsi="Times New Roman" w:cs="Times New Roman"/>
              </w:rPr>
              <w:t>Piecewise linear representation of PM</w:t>
            </w:r>
            <w:r w:rsidRPr="00A65545">
              <w:rPr>
                <w:rFonts w:ascii="Times New Roman" w:hAnsi="Times New Roman" w:cs="Times New Roman"/>
                <w:vertAlign w:val="subscript"/>
              </w:rPr>
              <w:t>2.5</w:t>
            </w:r>
          </w:p>
        </w:tc>
        <w:tc>
          <w:tcPr>
            <w:tcW w:w="6945" w:type="dxa"/>
            <w:tcBorders>
              <w:top w:val="nil"/>
              <w:bottom w:val="single" w:sz="4" w:space="0" w:color="auto"/>
            </w:tcBorders>
          </w:tcPr>
          <w:p w14:paraId="55D25AF1" w14:textId="103F619B" w:rsidR="009D300E" w:rsidRPr="00173875" w:rsidRDefault="009D300E" w:rsidP="009D300E">
            <w:pPr>
              <w:tabs>
                <w:tab w:val="left" w:pos="1806"/>
              </w:tabs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P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2.5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7d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β</m:t>
                    </m:r>
                    <m:ctrlPr>
                      <w:rPr>
                        <w:rFonts w:ascii="Cambria Math" w:hAnsi="Cambria Math" w:cs="Times New Roman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</w:rPr>
                      <m:t>1a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P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2.5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e>
                    </m:d>
                  </m:sup>
                </m:sSubSup>
                <m:r>
                  <w:rPr>
                    <w:rFonts w:ascii="Cambria Math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β</m:t>
                    </m:r>
                    <m:ctrlPr>
                      <w:rPr>
                        <w:rFonts w:ascii="Cambria Math" w:hAnsi="Cambria Math" w:cs="Times New Roman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</w:rPr>
                      <m:t>1b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P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2.5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e>
                    </m:d>
                  </m:sup>
                </m:sSubSup>
                <m:r>
                  <w:rPr>
                    <w:rFonts w:ascii="Cambria Math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β</m:t>
                    </m:r>
                    <m:ctrlPr>
                      <w:rPr>
                        <w:rFonts w:ascii="Cambria Math" w:hAnsi="Cambria Math" w:cs="Times New Roman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</w:rPr>
                      <m:t>1c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P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2.5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e>
                    </m:d>
                  </m:sup>
                </m:sSubSup>
                <m:r>
                  <w:rPr>
                    <w:rFonts w:ascii="Cambria Math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β</m:t>
                    </m:r>
                    <m:ctrlPr>
                      <w:rPr>
                        <w:rFonts w:ascii="Cambria Math" w:hAnsi="Cambria Math" w:cs="Times New Roman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</w:rPr>
                      <m:t>1d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P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2.5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e>
                    </m:d>
                  </m:sup>
                </m:sSubSup>
              </m:oMath>
            </m:oMathPara>
          </w:p>
          <w:p w14:paraId="24EEB8BB" w14:textId="77777777" w:rsidR="009D300E" w:rsidRPr="00A65545" w:rsidRDefault="009D300E" w:rsidP="00627848">
            <w:pPr>
              <w:tabs>
                <w:tab w:val="left" w:pos="1806"/>
              </w:tabs>
              <w:jc w:val="center"/>
              <w:rPr>
                <w:rFonts w:ascii="Times New Roman" w:hAnsi="Times New Roman" w:cs="Times New Roman"/>
              </w:rPr>
            </w:pPr>
          </w:p>
          <w:p w14:paraId="6FC85E37" w14:textId="356A3CA0" w:rsidR="009D300E" w:rsidRPr="00A65545" w:rsidRDefault="009D300E" w:rsidP="009D300E">
            <w:pPr>
              <w:tabs>
                <w:tab w:val="left" w:pos="1806"/>
              </w:tabs>
              <w:rPr>
                <w:rFonts w:ascii="Times New Roman" w:hAnsi="Times New Roman" w:cs="Times New Roman"/>
              </w:rPr>
            </w:pPr>
          </w:p>
        </w:tc>
      </w:tr>
    </w:tbl>
    <w:p w14:paraId="73F0B139" w14:textId="77777777" w:rsidR="0093199D" w:rsidRPr="00A65545" w:rsidRDefault="0093199D" w:rsidP="005144BE">
      <w:pPr>
        <w:rPr>
          <w:rFonts w:ascii="Times New Roman" w:hAnsi="Times New Roman" w:cs="Times New Roman"/>
        </w:rPr>
      </w:pPr>
    </w:p>
    <w:p w14:paraId="78C3312E" w14:textId="4A46A536" w:rsidR="00A65545" w:rsidRDefault="00A65545" w:rsidP="005144BE">
      <w:pPr>
        <w:rPr>
          <w:rFonts w:ascii="Times New Roman" w:hAnsi="Times New Roman" w:cs="Times New Roman"/>
        </w:rPr>
      </w:pPr>
      <w:r w:rsidRPr="00A65545">
        <w:rPr>
          <w:rFonts w:ascii="Times New Roman" w:hAnsi="Times New Roman" w:cs="Times New Roman"/>
        </w:rPr>
        <w:t xml:space="preserve">Notes: The Andersen-Gill model was fitted using a counting-process formulation with robust variance estimation clustered at the child level. The baseline hazard was left unspecified and estimated using the Breslow approximation. </w:t>
      </w:r>
    </w:p>
    <w:p w14:paraId="21FF11B9" w14:textId="77777777" w:rsidR="00A65545" w:rsidRPr="00A65545" w:rsidRDefault="00A65545" w:rsidP="005144BE">
      <w:pPr>
        <w:rPr>
          <w:rFonts w:ascii="Times New Roman" w:hAnsi="Times New Roman" w:cs="Times New Roman"/>
        </w:rPr>
      </w:pPr>
    </w:p>
    <w:p w14:paraId="48304B07" w14:textId="7DA457AF" w:rsidR="00575A42" w:rsidRDefault="00377BCA" w:rsidP="00575A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noProof/>
          <w:sz w:val="28"/>
          <w:szCs w:val="28"/>
        </w:rPr>
        <w:drawing>
          <wp:inline distT="0" distB="0" distL="0" distR="0" wp14:anchorId="24C4E26A" wp14:editId="7D3BFF20">
            <wp:extent cx="5943600" cy="3962400"/>
            <wp:effectExtent l="0" t="0" r="0" b="0"/>
            <wp:docPr id="26721526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5269" name="Picture 1" descr="A screenshot of a grap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BED57" w14:textId="21C68207" w:rsidR="00575A42" w:rsidRPr="00377BCA" w:rsidRDefault="00575A42" w:rsidP="00575A42">
      <w:pPr>
        <w:rPr>
          <w:rFonts w:ascii="Times New Roman" w:hAnsi="Times New Roman" w:cs="Times New Roman"/>
        </w:rPr>
      </w:pPr>
      <w:r w:rsidRPr="00377BCA">
        <w:rPr>
          <w:rFonts w:ascii="Times New Roman" w:hAnsi="Times New Roman" w:cs="Times New Roman"/>
          <w:b/>
          <w:bCs/>
        </w:rPr>
        <w:lastRenderedPageBreak/>
        <w:t>Supplementary Figure 1</w:t>
      </w:r>
      <w:r w:rsidRPr="00377BCA">
        <w:rPr>
          <w:rFonts w:ascii="Times New Roman" w:hAnsi="Times New Roman" w:cs="Times New Roman"/>
        </w:rPr>
        <w:t xml:space="preserve">. </w:t>
      </w:r>
      <w:r w:rsidRPr="00377BCA">
        <w:rPr>
          <w:rFonts w:ascii="Times New Roman" w:hAnsi="Times New Roman" w:cs="Times New Roman" w:hint="eastAsia"/>
        </w:rPr>
        <w:t xml:space="preserve"> Sen</w:t>
      </w:r>
      <w:r w:rsidRPr="00377BCA">
        <w:rPr>
          <w:rFonts w:ascii="Times New Roman" w:hAnsi="Times New Roman" w:cs="Times New Roman"/>
        </w:rPr>
        <w:t>sitivity analysis of the association between PM</w:t>
      </w:r>
      <w:r w:rsidR="00377BCA" w:rsidRPr="00377BCA">
        <w:rPr>
          <w:rFonts w:ascii="Times New Roman" w:hAnsi="Times New Roman" w:cs="Times New Roman" w:hint="eastAsia"/>
          <w:vertAlign w:val="subscript"/>
        </w:rPr>
        <w:t>2.5</w:t>
      </w:r>
      <w:r w:rsidRPr="00377BCA">
        <w:rPr>
          <w:rFonts w:ascii="Times New Roman" w:hAnsi="Times New Roman" w:cs="Times New Roman"/>
          <w:vertAlign w:val="subscript"/>
        </w:rPr>
        <w:t xml:space="preserve"> </w:t>
      </w:r>
      <w:r w:rsidRPr="00377BCA">
        <w:rPr>
          <w:rFonts w:ascii="Times New Roman" w:hAnsi="Times New Roman" w:cs="Times New Roman"/>
        </w:rPr>
        <w:t xml:space="preserve">exposure and recurrent ALRI events across alternative exposure windows. Hazard ratios and 95% confidence intervals were estimated using Andersen-Gill models with rolling exposure windows from lag 1 to lag 7. </w:t>
      </w:r>
    </w:p>
    <w:p w14:paraId="0901E80B" w14:textId="7FBE4F8C" w:rsidR="00377BCA" w:rsidRDefault="00377BCA" w:rsidP="00575A42">
      <w:pPr>
        <w:rPr>
          <w:rFonts w:ascii="Times New Roman" w:hAnsi="Times New Roman" w:cs="Times New Roman"/>
          <w:sz w:val="28"/>
          <w:szCs w:val="28"/>
        </w:rPr>
      </w:pPr>
    </w:p>
    <w:p w14:paraId="5F0172BC" w14:textId="4EE67F05" w:rsidR="00377BCA" w:rsidRPr="00377BCA" w:rsidRDefault="00377BCA" w:rsidP="00575A42">
      <w:pPr>
        <w:rPr>
          <w:rFonts w:ascii="Times New Roman" w:hAnsi="Times New Roman" w:cs="Times New Roman"/>
        </w:rPr>
      </w:pPr>
      <w:r w:rsidRPr="00377BCA">
        <w:rPr>
          <w:rFonts w:ascii="Times New Roman" w:hAnsi="Times New Roman" w:cs="Times New Roman" w:hint="eastAsia"/>
          <w:b/>
          <w:bCs/>
        </w:rPr>
        <w:t>Supplem</w:t>
      </w:r>
      <w:r w:rsidRPr="00377BCA">
        <w:rPr>
          <w:rFonts w:ascii="Times New Roman" w:hAnsi="Times New Roman" w:cs="Times New Roman"/>
          <w:b/>
          <w:bCs/>
        </w:rPr>
        <w:t xml:space="preserve">entary Table </w:t>
      </w:r>
      <w:r w:rsidR="003D7E10">
        <w:rPr>
          <w:rFonts w:ascii="Times New Roman" w:hAnsi="Times New Roman" w:cs="Times New Roman"/>
          <w:b/>
          <w:bCs/>
        </w:rPr>
        <w:t>2</w:t>
      </w:r>
      <w:r w:rsidRPr="00377BCA">
        <w:rPr>
          <w:rFonts w:ascii="Times New Roman" w:hAnsi="Times New Roman" w:cs="Times New Roman"/>
          <w:b/>
          <w:bCs/>
        </w:rPr>
        <w:t xml:space="preserve">. </w:t>
      </w:r>
      <w:r w:rsidRPr="00377BCA">
        <w:rPr>
          <w:rFonts w:ascii="Times New Roman" w:hAnsi="Times New Roman" w:cs="Times New Roman"/>
        </w:rPr>
        <w:t>Model fit statistics effects from alternative recurrent event models. Akaike Information criterion (AIC) values and hazard ratios with 95% confidence intervals are reported for Andersen-Gill, PWP total-time, PWP gap-time, and shared frailty models.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377BCA" w14:paraId="22C5EE74" w14:textId="77777777" w:rsidTr="009744F0">
        <w:tc>
          <w:tcPr>
            <w:tcW w:w="4675" w:type="dxa"/>
            <w:tcBorders>
              <w:top w:val="single" w:sz="4" w:space="0" w:color="auto"/>
              <w:bottom w:val="single" w:sz="8" w:space="0" w:color="auto"/>
            </w:tcBorders>
          </w:tcPr>
          <w:p w14:paraId="3AA1C4CD" w14:textId="196816DE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9744F0">
              <w:rPr>
                <w:rFonts w:ascii="Times New Roman" w:hAnsi="Times New Roman" w:cs="Times New Roman" w:hint="eastAsia"/>
                <w:b/>
                <w:bCs/>
              </w:rPr>
              <w:t>Mode</w:t>
            </w:r>
            <w:r w:rsidRPr="009744F0">
              <w:rPr>
                <w:rFonts w:ascii="Times New Roman" w:hAnsi="Times New Roman" w:cs="Times New Roman"/>
                <w:b/>
                <w:bCs/>
              </w:rPr>
              <w:t>l</w:t>
            </w:r>
          </w:p>
        </w:tc>
        <w:tc>
          <w:tcPr>
            <w:tcW w:w="4675" w:type="dxa"/>
            <w:tcBorders>
              <w:top w:val="single" w:sz="4" w:space="0" w:color="auto"/>
              <w:bottom w:val="single" w:sz="8" w:space="0" w:color="auto"/>
            </w:tcBorders>
          </w:tcPr>
          <w:p w14:paraId="6B07BC0B" w14:textId="15DC8A3A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9744F0">
              <w:rPr>
                <w:rFonts w:ascii="Times New Roman" w:hAnsi="Times New Roman" w:cs="Times New Roman"/>
                <w:b/>
                <w:bCs/>
              </w:rPr>
              <w:t>AIC</w:t>
            </w:r>
          </w:p>
        </w:tc>
      </w:tr>
      <w:tr w:rsidR="00377BCA" w14:paraId="76AA8E58" w14:textId="77777777" w:rsidTr="009744F0">
        <w:tc>
          <w:tcPr>
            <w:tcW w:w="4675" w:type="dxa"/>
            <w:tcBorders>
              <w:top w:val="single" w:sz="8" w:space="0" w:color="auto"/>
            </w:tcBorders>
          </w:tcPr>
          <w:p w14:paraId="1E59A6BE" w14:textId="286D1869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Andersen-Gill</w:t>
            </w:r>
          </w:p>
        </w:tc>
        <w:tc>
          <w:tcPr>
            <w:tcW w:w="4675" w:type="dxa"/>
            <w:tcBorders>
              <w:top w:val="single" w:sz="8" w:space="0" w:color="auto"/>
            </w:tcBorders>
          </w:tcPr>
          <w:p w14:paraId="705E8F40" w14:textId="7D51878C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1971.6</w:t>
            </w:r>
          </w:p>
        </w:tc>
      </w:tr>
      <w:tr w:rsidR="00377BCA" w14:paraId="0B12242D" w14:textId="77777777" w:rsidTr="009744F0">
        <w:tc>
          <w:tcPr>
            <w:tcW w:w="4675" w:type="dxa"/>
          </w:tcPr>
          <w:p w14:paraId="0823CF2B" w14:textId="00CFD873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 w:hint="eastAsia"/>
              </w:rPr>
              <w:t>P</w:t>
            </w:r>
            <w:r w:rsidRPr="009744F0">
              <w:rPr>
                <w:rFonts w:ascii="Times New Roman" w:hAnsi="Times New Roman" w:cs="Times New Roman"/>
              </w:rPr>
              <w:t>WP total-time</w:t>
            </w:r>
          </w:p>
        </w:tc>
        <w:tc>
          <w:tcPr>
            <w:tcW w:w="4675" w:type="dxa"/>
          </w:tcPr>
          <w:p w14:paraId="60CF4836" w14:textId="11ACCF67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1748.5</w:t>
            </w:r>
          </w:p>
        </w:tc>
      </w:tr>
      <w:tr w:rsidR="00377BCA" w14:paraId="007AEFE3" w14:textId="77777777" w:rsidTr="009744F0">
        <w:tc>
          <w:tcPr>
            <w:tcW w:w="4675" w:type="dxa"/>
          </w:tcPr>
          <w:p w14:paraId="52027CAE" w14:textId="13702D74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PWP gap-time</w:t>
            </w:r>
          </w:p>
        </w:tc>
        <w:tc>
          <w:tcPr>
            <w:tcW w:w="4675" w:type="dxa"/>
          </w:tcPr>
          <w:p w14:paraId="4476111A" w14:textId="0FBCAB9C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1792.2</w:t>
            </w:r>
          </w:p>
        </w:tc>
      </w:tr>
      <w:tr w:rsidR="00377BCA" w14:paraId="2BA6F643" w14:textId="77777777" w:rsidTr="009744F0">
        <w:tc>
          <w:tcPr>
            <w:tcW w:w="4675" w:type="dxa"/>
          </w:tcPr>
          <w:p w14:paraId="075177FD" w14:textId="66BC35B4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Frailty (Gaussian)</w:t>
            </w:r>
          </w:p>
        </w:tc>
        <w:tc>
          <w:tcPr>
            <w:tcW w:w="4675" w:type="dxa"/>
          </w:tcPr>
          <w:p w14:paraId="5B74D1F1" w14:textId="3807382F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2644.3</w:t>
            </w:r>
          </w:p>
        </w:tc>
      </w:tr>
      <w:tr w:rsidR="00377BCA" w14:paraId="0B05BEDD" w14:textId="77777777" w:rsidTr="009744F0">
        <w:tc>
          <w:tcPr>
            <w:tcW w:w="4675" w:type="dxa"/>
            <w:tcBorders>
              <w:bottom w:val="single" w:sz="8" w:space="0" w:color="auto"/>
            </w:tcBorders>
          </w:tcPr>
          <w:p w14:paraId="3F423332" w14:textId="1A460A44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Frailty (Gamma)</w:t>
            </w:r>
          </w:p>
        </w:tc>
        <w:tc>
          <w:tcPr>
            <w:tcW w:w="4675" w:type="dxa"/>
            <w:tcBorders>
              <w:bottom w:val="single" w:sz="8" w:space="0" w:color="auto"/>
            </w:tcBorders>
          </w:tcPr>
          <w:p w14:paraId="69B2CA3F" w14:textId="33527414" w:rsidR="00377BCA" w:rsidRPr="009744F0" w:rsidRDefault="00377BCA" w:rsidP="009744F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9744F0">
              <w:rPr>
                <w:rFonts w:ascii="Times New Roman" w:hAnsi="Times New Roman" w:cs="Times New Roman"/>
              </w:rPr>
              <w:t>2862</w:t>
            </w:r>
          </w:p>
        </w:tc>
      </w:tr>
    </w:tbl>
    <w:p w14:paraId="6AC076F1" w14:textId="77777777" w:rsidR="00377BCA" w:rsidRPr="00377BCA" w:rsidRDefault="00377BCA" w:rsidP="00575A42">
      <w:pPr>
        <w:rPr>
          <w:rFonts w:ascii="Times New Roman" w:hAnsi="Times New Roman" w:cs="Times New Roman"/>
          <w:b/>
          <w:bCs/>
        </w:rPr>
      </w:pPr>
    </w:p>
    <w:sectPr w:rsidR="00377BCA" w:rsidRPr="00377BC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FECFA" w14:textId="77777777" w:rsidR="00E46959" w:rsidRDefault="00E46959" w:rsidP="009744F0">
      <w:pPr>
        <w:spacing w:after="0" w:line="240" w:lineRule="auto"/>
      </w:pPr>
      <w:r>
        <w:separator/>
      </w:r>
    </w:p>
  </w:endnote>
  <w:endnote w:type="continuationSeparator" w:id="0">
    <w:p w14:paraId="3CCD2E2F" w14:textId="77777777" w:rsidR="00E46959" w:rsidRDefault="00E46959" w:rsidP="009744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A6794" w14:textId="77777777" w:rsidR="00E46959" w:rsidRDefault="00E46959" w:rsidP="009744F0">
      <w:pPr>
        <w:spacing w:after="0" w:line="240" w:lineRule="auto"/>
      </w:pPr>
      <w:r>
        <w:separator/>
      </w:r>
    </w:p>
  </w:footnote>
  <w:footnote w:type="continuationSeparator" w:id="0">
    <w:p w14:paraId="5379B84F" w14:textId="77777777" w:rsidR="00E46959" w:rsidRDefault="00E46959" w:rsidP="009744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A42"/>
    <w:rsid w:val="00004DBD"/>
    <w:rsid w:val="00012742"/>
    <w:rsid w:val="00073DEC"/>
    <w:rsid w:val="00074515"/>
    <w:rsid w:val="00086507"/>
    <w:rsid w:val="001476CE"/>
    <w:rsid w:val="00173875"/>
    <w:rsid w:val="00180780"/>
    <w:rsid w:val="001D3E92"/>
    <w:rsid w:val="002254BA"/>
    <w:rsid w:val="00283A34"/>
    <w:rsid w:val="00377BCA"/>
    <w:rsid w:val="00392BC0"/>
    <w:rsid w:val="003D7E10"/>
    <w:rsid w:val="00463534"/>
    <w:rsid w:val="004941E3"/>
    <w:rsid w:val="005144BE"/>
    <w:rsid w:val="00533B4B"/>
    <w:rsid w:val="00543592"/>
    <w:rsid w:val="00575A42"/>
    <w:rsid w:val="005A0C8B"/>
    <w:rsid w:val="00627848"/>
    <w:rsid w:val="0063271B"/>
    <w:rsid w:val="00672D35"/>
    <w:rsid w:val="00676317"/>
    <w:rsid w:val="00713710"/>
    <w:rsid w:val="0072013F"/>
    <w:rsid w:val="00740673"/>
    <w:rsid w:val="007736B6"/>
    <w:rsid w:val="007A4409"/>
    <w:rsid w:val="007D5246"/>
    <w:rsid w:val="0081568F"/>
    <w:rsid w:val="00870B33"/>
    <w:rsid w:val="0087506A"/>
    <w:rsid w:val="008A6E30"/>
    <w:rsid w:val="008C37B6"/>
    <w:rsid w:val="008F23B3"/>
    <w:rsid w:val="0093199D"/>
    <w:rsid w:val="009744F0"/>
    <w:rsid w:val="00980DCA"/>
    <w:rsid w:val="009D300E"/>
    <w:rsid w:val="009D4BE5"/>
    <w:rsid w:val="009E34F2"/>
    <w:rsid w:val="00A16CC4"/>
    <w:rsid w:val="00A65545"/>
    <w:rsid w:val="00AD0D5A"/>
    <w:rsid w:val="00B2615E"/>
    <w:rsid w:val="00B54ADB"/>
    <w:rsid w:val="00BB05EE"/>
    <w:rsid w:val="00C41E7D"/>
    <w:rsid w:val="00CA442F"/>
    <w:rsid w:val="00D22361"/>
    <w:rsid w:val="00D27F7C"/>
    <w:rsid w:val="00D579E4"/>
    <w:rsid w:val="00D61734"/>
    <w:rsid w:val="00DA4C30"/>
    <w:rsid w:val="00E46959"/>
    <w:rsid w:val="00E84399"/>
    <w:rsid w:val="00EC48BF"/>
    <w:rsid w:val="00F15936"/>
    <w:rsid w:val="00F5039F"/>
    <w:rsid w:val="00F925F4"/>
    <w:rsid w:val="00FA1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A5943"/>
  <w15:chartTrackingRefBased/>
  <w15:docId w15:val="{85B599F4-54E4-6F41-8BD5-680F16198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5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A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A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A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A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A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A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A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A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A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A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A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A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A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A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A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7B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44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44F0"/>
  </w:style>
  <w:style w:type="paragraph" w:styleId="Footer">
    <w:name w:val="footer"/>
    <w:basedOn w:val="Normal"/>
    <w:link w:val="FooterChar"/>
    <w:uiPriority w:val="99"/>
    <w:unhideWhenUsed/>
    <w:rsid w:val="009744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44F0"/>
  </w:style>
  <w:style w:type="character" w:styleId="PlaceholderText">
    <w:name w:val="Placeholder Text"/>
    <w:basedOn w:val="DefaultParagraphFont"/>
    <w:uiPriority w:val="99"/>
    <w:semiHidden/>
    <w:rsid w:val="008C37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8aac226-2f03-4b4d-9037-b46d56c55210}" enabled="0" method="" siteId="{78aac226-2f03-4b4d-9037-b46d56c5521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Madelyne Ruijia Zhang</dc:creator>
  <cp:keywords/>
  <dc:description/>
  <cp:lastModifiedBy>Madelyne Ruijia Zhang</cp:lastModifiedBy>
  <cp:revision>2</cp:revision>
  <dcterms:created xsi:type="dcterms:W3CDTF">2026-02-02T22:38:00Z</dcterms:created>
  <dcterms:modified xsi:type="dcterms:W3CDTF">2026-02-02T22:38:00Z</dcterms:modified>
</cp:coreProperties>
</file>