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AAFE" w14:textId="31A6AD82" w:rsidR="00575A42" w:rsidRDefault="00575A42" w:rsidP="00575A42">
      <w:pPr>
        <w:jc w:val="center"/>
        <w:rPr>
          <w:rFonts w:ascii="Times New Roman" w:hAnsi="Times New Roman" w:cs="Times New Roman"/>
          <w:sz w:val="28"/>
          <w:szCs w:val="28"/>
        </w:rPr>
      </w:pPr>
      <w:r w:rsidRPr="00575A42">
        <w:rPr>
          <w:rFonts w:ascii="Times New Roman" w:hAnsi="Times New Roman" w:cs="Times New Roman"/>
          <w:sz w:val="28"/>
          <w:szCs w:val="28"/>
        </w:rPr>
        <w:t>Supplementary Materials</w:t>
      </w:r>
    </w:p>
    <w:p w14:paraId="48304B07" w14:textId="7DA457AF" w:rsidR="00575A42" w:rsidRDefault="00377BCA" w:rsidP="00575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drawing>
          <wp:inline distT="0" distB="0" distL="0" distR="0" wp14:anchorId="24C4E26A" wp14:editId="7D3BFF20">
            <wp:extent cx="5943600" cy="3962400"/>
            <wp:effectExtent l="0" t="0" r="0" b="0"/>
            <wp:docPr id="26721526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5269" name="Picture 1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ED57" w14:textId="21C68207" w:rsidR="00575A42" w:rsidRPr="00377BCA" w:rsidRDefault="00575A42" w:rsidP="00575A42">
      <w:pPr>
        <w:rPr>
          <w:rFonts w:ascii="Times New Roman" w:hAnsi="Times New Roman" w:cs="Times New Roman"/>
        </w:rPr>
      </w:pPr>
      <w:r w:rsidRPr="00377BCA">
        <w:rPr>
          <w:rFonts w:ascii="Times New Roman" w:hAnsi="Times New Roman" w:cs="Times New Roman"/>
          <w:b/>
          <w:bCs/>
        </w:rPr>
        <w:t>Supplementary Figure 1</w:t>
      </w:r>
      <w:r w:rsidRPr="00377BCA">
        <w:rPr>
          <w:rFonts w:ascii="Times New Roman" w:hAnsi="Times New Roman" w:cs="Times New Roman"/>
        </w:rPr>
        <w:t xml:space="preserve">. </w:t>
      </w:r>
      <w:r w:rsidRPr="00377BCA">
        <w:rPr>
          <w:rFonts w:ascii="Times New Roman" w:hAnsi="Times New Roman" w:cs="Times New Roman" w:hint="eastAsia"/>
        </w:rPr>
        <w:t xml:space="preserve"> Sen</w:t>
      </w:r>
      <w:r w:rsidRPr="00377BCA">
        <w:rPr>
          <w:rFonts w:ascii="Times New Roman" w:hAnsi="Times New Roman" w:cs="Times New Roman"/>
        </w:rPr>
        <w:t>sitivity analysis of the association between PM</w:t>
      </w:r>
      <w:r w:rsidR="00377BCA" w:rsidRPr="00377BCA">
        <w:rPr>
          <w:rFonts w:ascii="Times New Roman" w:hAnsi="Times New Roman" w:cs="Times New Roman" w:hint="eastAsia"/>
          <w:vertAlign w:val="subscript"/>
        </w:rPr>
        <w:t>2.5</w:t>
      </w:r>
      <w:r w:rsidRPr="00377BCA">
        <w:rPr>
          <w:rFonts w:ascii="Times New Roman" w:hAnsi="Times New Roman" w:cs="Times New Roman"/>
          <w:vertAlign w:val="subscript"/>
        </w:rPr>
        <w:t xml:space="preserve"> </w:t>
      </w:r>
      <w:r w:rsidRPr="00377BCA">
        <w:rPr>
          <w:rFonts w:ascii="Times New Roman" w:hAnsi="Times New Roman" w:cs="Times New Roman"/>
        </w:rPr>
        <w:t xml:space="preserve">exposure and recurrent ALRI events across alternative exposure windows. Hazard ratios and 95% confidence intervals were estimated using Andersen-Gill models with rolling exposure windows from lag 1 to lag 7. </w:t>
      </w:r>
    </w:p>
    <w:p w14:paraId="0901E80B" w14:textId="7FBE4F8C" w:rsidR="00377BCA" w:rsidRDefault="00377BCA" w:rsidP="00575A42">
      <w:pPr>
        <w:rPr>
          <w:rFonts w:ascii="Times New Roman" w:hAnsi="Times New Roman" w:cs="Times New Roman"/>
          <w:sz w:val="28"/>
          <w:szCs w:val="28"/>
        </w:rPr>
      </w:pPr>
    </w:p>
    <w:p w14:paraId="5F0172BC" w14:textId="39828795" w:rsidR="00377BCA" w:rsidRPr="00377BCA" w:rsidRDefault="00377BCA" w:rsidP="00575A42">
      <w:pPr>
        <w:rPr>
          <w:rFonts w:ascii="Times New Roman" w:hAnsi="Times New Roman" w:cs="Times New Roman"/>
        </w:rPr>
      </w:pPr>
      <w:r w:rsidRPr="00377BCA">
        <w:rPr>
          <w:rFonts w:ascii="Times New Roman" w:hAnsi="Times New Roman" w:cs="Times New Roman" w:hint="eastAsia"/>
          <w:b/>
          <w:bCs/>
        </w:rPr>
        <w:t>Supplem</w:t>
      </w:r>
      <w:r w:rsidRPr="00377BCA">
        <w:rPr>
          <w:rFonts w:ascii="Times New Roman" w:hAnsi="Times New Roman" w:cs="Times New Roman"/>
          <w:b/>
          <w:bCs/>
        </w:rPr>
        <w:t xml:space="preserve">entary Table 1. </w:t>
      </w:r>
      <w:r w:rsidRPr="00377BCA">
        <w:rPr>
          <w:rFonts w:ascii="Times New Roman" w:hAnsi="Times New Roman" w:cs="Times New Roman"/>
        </w:rPr>
        <w:t>Model fit statistics effects from alternative recurrent event models. Akaike Information criterion (AIC) values and hazard ratios with 95% confidence intervals are reported for Andersen-Gill, PWP total-time, PWP gap-time, and shared frailty models.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77BCA" w14:paraId="22C5EE74" w14:textId="77777777" w:rsidTr="009744F0">
        <w:tc>
          <w:tcPr>
            <w:tcW w:w="4675" w:type="dxa"/>
            <w:tcBorders>
              <w:top w:val="single" w:sz="4" w:space="0" w:color="auto"/>
              <w:bottom w:val="single" w:sz="8" w:space="0" w:color="auto"/>
            </w:tcBorders>
          </w:tcPr>
          <w:p w14:paraId="3AA1C4CD" w14:textId="196816DE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744F0">
              <w:rPr>
                <w:rFonts w:ascii="Times New Roman" w:hAnsi="Times New Roman" w:cs="Times New Roman" w:hint="eastAsia"/>
                <w:b/>
                <w:bCs/>
              </w:rPr>
              <w:t>Mode</w:t>
            </w:r>
            <w:r w:rsidRPr="009744F0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8" w:space="0" w:color="auto"/>
            </w:tcBorders>
          </w:tcPr>
          <w:p w14:paraId="6B07BC0B" w14:textId="15DC8A3A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744F0">
              <w:rPr>
                <w:rFonts w:ascii="Times New Roman" w:hAnsi="Times New Roman" w:cs="Times New Roman"/>
                <w:b/>
                <w:bCs/>
              </w:rPr>
              <w:t>AIC</w:t>
            </w:r>
          </w:p>
        </w:tc>
      </w:tr>
      <w:tr w:rsidR="00377BCA" w14:paraId="76AA8E58" w14:textId="77777777" w:rsidTr="009744F0">
        <w:tc>
          <w:tcPr>
            <w:tcW w:w="4675" w:type="dxa"/>
            <w:tcBorders>
              <w:top w:val="single" w:sz="8" w:space="0" w:color="auto"/>
            </w:tcBorders>
          </w:tcPr>
          <w:p w14:paraId="1E59A6BE" w14:textId="286D1869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Andersen-Gill</w:t>
            </w:r>
          </w:p>
        </w:tc>
        <w:tc>
          <w:tcPr>
            <w:tcW w:w="4675" w:type="dxa"/>
            <w:tcBorders>
              <w:top w:val="single" w:sz="8" w:space="0" w:color="auto"/>
            </w:tcBorders>
          </w:tcPr>
          <w:p w14:paraId="705E8F40" w14:textId="7D51878C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1971.6</w:t>
            </w:r>
          </w:p>
        </w:tc>
      </w:tr>
      <w:tr w:rsidR="00377BCA" w14:paraId="0B12242D" w14:textId="77777777" w:rsidTr="009744F0">
        <w:tc>
          <w:tcPr>
            <w:tcW w:w="4675" w:type="dxa"/>
          </w:tcPr>
          <w:p w14:paraId="0823CF2B" w14:textId="00CFD873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 w:hint="eastAsia"/>
              </w:rPr>
              <w:t>P</w:t>
            </w:r>
            <w:r w:rsidRPr="009744F0">
              <w:rPr>
                <w:rFonts w:ascii="Times New Roman" w:hAnsi="Times New Roman" w:cs="Times New Roman"/>
              </w:rPr>
              <w:t>WP total-time</w:t>
            </w:r>
          </w:p>
        </w:tc>
        <w:tc>
          <w:tcPr>
            <w:tcW w:w="4675" w:type="dxa"/>
          </w:tcPr>
          <w:p w14:paraId="60CF4836" w14:textId="11ACCF67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1748.5</w:t>
            </w:r>
          </w:p>
        </w:tc>
      </w:tr>
      <w:tr w:rsidR="00377BCA" w14:paraId="007AEFE3" w14:textId="77777777" w:rsidTr="009744F0">
        <w:tc>
          <w:tcPr>
            <w:tcW w:w="4675" w:type="dxa"/>
          </w:tcPr>
          <w:p w14:paraId="52027CAE" w14:textId="13702D74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PWP gap-time</w:t>
            </w:r>
          </w:p>
        </w:tc>
        <w:tc>
          <w:tcPr>
            <w:tcW w:w="4675" w:type="dxa"/>
          </w:tcPr>
          <w:p w14:paraId="4476111A" w14:textId="0FBCAB9C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1792.2</w:t>
            </w:r>
          </w:p>
        </w:tc>
      </w:tr>
      <w:tr w:rsidR="00377BCA" w14:paraId="2BA6F643" w14:textId="77777777" w:rsidTr="009744F0">
        <w:tc>
          <w:tcPr>
            <w:tcW w:w="4675" w:type="dxa"/>
          </w:tcPr>
          <w:p w14:paraId="075177FD" w14:textId="66BC35B4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Frailty (Gaussian)</w:t>
            </w:r>
          </w:p>
        </w:tc>
        <w:tc>
          <w:tcPr>
            <w:tcW w:w="4675" w:type="dxa"/>
          </w:tcPr>
          <w:p w14:paraId="5B74D1F1" w14:textId="3807382F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2644.3</w:t>
            </w:r>
          </w:p>
        </w:tc>
      </w:tr>
      <w:tr w:rsidR="00377BCA" w14:paraId="0B05BEDD" w14:textId="77777777" w:rsidTr="009744F0">
        <w:tc>
          <w:tcPr>
            <w:tcW w:w="4675" w:type="dxa"/>
            <w:tcBorders>
              <w:bottom w:val="single" w:sz="8" w:space="0" w:color="auto"/>
            </w:tcBorders>
          </w:tcPr>
          <w:p w14:paraId="3F423332" w14:textId="1A460A44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Frailty (Gamma)</w:t>
            </w:r>
          </w:p>
        </w:tc>
        <w:tc>
          <w:tcPr>
            <w:tcW w:w="4675" w:type="dxa"/>
            <w:tcBorders>
              <w:bottom w:val="single" w:sz="8" w:space="0" w:color="auto"/>
            </w:tcBorders>
          </w:tcPr>
          <w:p w14:paraId="69B2CA3F" w14:textId="33527414" w:rsidR="00377BCA" w:rsidRPr="009744F0" w:rsidRDefault="00377BCA" w:rsidP="009744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44F0">
              <w:rPr>
                <w:rFonts w:ascii="Times New Roman" w:hAnsi="Times New Roman" w:cs="Times New Roman"/>
              </w:rPr>
              <w:t>2862</w:t>
            </w:r>
          </w:p>
        </w:tc>
      </w:tr>
    </w:tbl>
    <w:p w14:paraId="6AC076F1" w14:textId="77777777" w:rsidR="00377BCA" w:rsidRPr="00377BCA" w:rsidRDefault="00377BCA" w:rsidP="00575A42">
      <w:pPr>
        <w:rPr>
          <w:rFonts w:ascii="Times New Roman" w:hAnsi="Times New Roman" w:cs="Times New Roman"/>
          <w:b/>
          <w:bCs/>
        </w:rPr>
      </w:pPr>
    </w:p>
    <w:sectPr w:rsidR="00377BCA" w:rsidRPr="00377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13B7" w14:textId="77777777" w:rsidR="009744F0" w:rsidRDefault="009744F0" w:rsidP="009744F0">
      <w:pPr>
        <w:spacing w:after="0" w:line="240" w:lineRule="auto"/>
      </w:pPr>
      <w:r>
        <w:separator/>
      </w:r>
    </w:p>
  </w:endnote>
  <w:endnote w:type="continuationSeparator" w:id="0">
    <w:p w14:paraId="647305AF" w14:textId="77777777" w:rsidR="009744F0" w:rsidRDefault="009744F0" w:rsidP="00974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3AF1" w14:textId="77777777" w:rsidR="009744F0" w:rsidRDefault="009744F0" w:rsidP="009744F0">
      <w:pPr>
        <w:spacing w:after="0" w:line="240" w:lineRule="auto"/>
      </w:pPr>
      <w:r>
        <w:separator/>
      </w:r>
    </w:p>
  </w:footnote>
  <w:footnote w:type="continuationSeparator" w:id="0">
    <w:p w14:paraId="547266F1" w14:textId="77777777" w:rsidR="009744F0" w:rsidRDefault="009744F0" w:rsidP="00974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42"/>
    <w:rsid w:val="00377BCA"/>
    <w:rsid w:val="00575A42"/>
    <w:rsid w:val="00870B33"/>
    <w:rsid w:val="009744F0"/>
    <w:rsid w:val="009E34F2"/>
    <w:rsid w:val="009F041C"/>
    <w:rsid w:val="00AD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5943"/>
  <w15:chartTrackingRefBased/>
  <w15:docId w15:val="{85B599F4-54E4-6F41-8BD5-680F1619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7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4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4F0"/>
  </w:style>
  <w:style w:type="paragraph" w:styleId="Footer">
    <w:name w:val="footer"/>
    <w:basedOn w:val="Normal"/>
    <w:link w:val="FooterChar"/>
    <w:uiPriority w:val="99"/>
    <w:unhideWhenUsed/>
    <w:rsid w:val="00974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Madelyne Ruijia Zhang</dc:creator>
  <cp:keywords/>
  <dc:description/>
  <cp:lastModifiedBy>Madelyne Ruijia Zhang</cp:lastModifiedBy>
  <cp:revision>2</cp:revision>
  <dcterms:created xsi:type="dcterms:W3CDTF">2026-01-29T19:40:00Z</dcterms:created>
  <dcterms:modified xsi:type="dcterms:W3CDTF">2026-01-29T19:40:00Z</dcterms:modified>
</cp:coreProperties>
</file>