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0F26" w14:textId="520B3F49" w:rsidR="0059119F" w:rsidRPr="006A7B63" w:rsidRDefault="0059119F" w:rsidP="05FA96B4">
      <w:pPr>
        <w:rPr>
          <w:rFonts w:ascii="Times New Roman" w:hAnsi="Times New Roman" w:cs="Times New Roman"/>
        </w:rPr>
      </w:pPr>
    </w:p>
    <w:p w14:paraId="04C1285A" w14:textId="6154A393" w:rsidR="63C6429A" w:rsidRPr="006A7B63" w:rsidRDefault="63C6429A" w:rsidP="05FA96B4">
      <w:pPr>
        <w:rPr>
          <w:rFonts w:ascii="Times New Roman" w:hAnsi="Times New Roman" w:cs="Times New Roman"/>
        </w:rPr>
      </w:pPr>
    </w:p>
    <w:p w14:paraId="59E0DFCB" w14:textId="50D16100" w:rsidR="05FA96B4" w:rsidRDefault="05FA96B4" w:rsidP="05FA96B4">
      <w:pPr>
        <w:rPr>
          <w:rFonts w:ascii="Times New Roman" w:hAnsi="Times New Roman" w:cs="Times New Roman"/>
        </w:rPr>
      </w:pPr>
    </w:p>
    <w:p w14:paraId="6177BDFF" w14:textId="114AFA8F" w:rsidR="05FA96B4" w:rsidRDefault="05FA96B4" w:rsidP="05FA96B4">
      <w:pPr>
        <w:rPr>
          <w:rFonts w:ascii="Times New Roman" w:hAnsi="Times New Roman" w:cs="Times New Roman"/>
        </w:rPr>
      </w:pPr>
    </w:p>
    <w:p w14:paraId="5FCD69A5" w14:textId="01BCD424" w:rsidR="59815234" w:rsidRPr="006A7B63" w:rsidRDefault="05FA96B4" w:rsidP="59815234">
      <w:pPr>
        <w:spacing w:after="180"/>
        <w:jc w:val="center"/>
        <w:rPr>
          <w:rFonts w:ascii="Times New Roman" w:hAnsi="Times New Roman" w:cs="Times New Roman"/>
          <w:b/>
          <w:bCs/>
          <w:color w:val="1B3A6B"/>
          <w:sz w:val="56"/>
          <w:szCs w:val="56"/>
        </w:rPr>
      </w:pPr>
      <w:r>
        <w:rPr>
          <w:noProof/>
        </w:rPr>
        <w:drawing>
          <wp:anchor distT="0" distB="0" distL="114300" distR="114300" simplePos="0" relativeHeight="251658241" behindDoc="1" locked="0" layoutInCell="1" allowOverlap="1" wp14:anchorId="1A6EAB11" wp14:editId="2920A66D">
            <wp:simplePos x="0" y="0"/>
            <wp:positionH relativeFrom="column">
              <wp:posOffset>447675</wp:posOffset>
            </wp:positionH>
            <wp:positionV relativeFrom="paragraph">
              <wp:posOffset>57150</wp:posOffset>
            </wp:positionV>
            <wp:extent cx="6134100" cy="2209800"/>
            <wp:effectExtent l="0" t="0" r="0" b="0"/>
            <wp:wrapNone/>
            <wp:docPr id="126265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5907" name="Picture 126265907"/>
                    <pic:cNvPicPr/>
                  </pic:nvPicPr>
                  <pic:blipFill>
                    <a:blip r:embed="rId7">
                      <a:extLst>
                        <a:ext uri="{28A0092B-C50C-407E-A947-70E740481C1C}">
                          <a14:useLocalDpi xmlns:a14="http://schemas.microsoft.com/office/drawing/2010/main"/>
                        </a:ext>
                      </a:extLst>
                    </a:blip>
                    <a:stretch>
                      <a:fillRect/>
                    </a:stretch>
                  </pic:blipFill>
                  <pic:spPr>
                    <a:xfrm>
                      <a:off x="0" y="0"/>
                      <a:ext cx="6134100" cy="2209800"/>
                    </a:xfrm>
                    <a:prstGeom prst="rect">
                      <a:avLst/>
                    </a:prstGeom>
                  </pic:spPr>
                </pic:pic>
              </a:graphicData>
            </a:graphic>
            <wp14:sizeRelH relativeFrom="page">
              <wp14:pctWidth>0</wp14:pctWidth>
            </wp14:sizeRelH>
            <wp14:sizeRelV relativeFrom="page">
              <wp14:pctHeight>0</wp14:pctHeight>
            </wp14:sizeRelV>
          </wp:anchor>
        </w:drawing>
      </w:r>
    </w:p>
    <w:p w14:paraId="0AA8548D" w14:textId="69F24235" w:rsidR="05FA96B4" w:rsidRDefault="05FA96B4" w:rsidP="05FA96B4">
      <w:pPr>
        <w:spacing w:after="180"/>
        <w:jc w:val="center"/>
        <w:rPr>
          <w:rFonts w:ascii="Times New Roman" w:hAnsi="Times New Roman" w:cs="Times New Roman"/>
          <w:b/>
          <w:bCs/>
          <w:color w:val="1B3A6B"/>
          <w:sz w:val="56"/>
          <w:szCs w:val="56"/>
        </w:rPr>
      </w:pPr>
    </w:p>
    <w:p w14:paraId="1B5E5360" w14:textId="562D63B1" w:rsidR="05FA96B4" w:rsidRDefault="05FA96B4" w:rsidP="05FA96B4">
      <w:pPr>
        <w:spacing w:after="180"/>
        <w:jc w:val="center"/>
        <w:rPr>
          <w:rFonts w:ascii="Times New Roman" w:hAnsi="Times New Roman" w:cs="Times New Roman"/>
          <w:b/>
          <w:bCs/>
          <w:color w:val="1B3A6B"/>
          <w:sz w:val="56"/>
          <w:szCs w:val="56"/>
        </w:rPr>
      </w:pPr>
    </w:p>
    <w:p w14:paraId="20EE8D70" w14:textId="5056EC4B" w:rsidR="05FA96B4" w:rsidRDefault="05FA96B4" w:rsidP="05FA96B4">
      <w:pPr>
        <w:spacing w:after="180"/>
        <w:jc w:val="center"/>
        <w:rPr>
          <w:rFonts w:ascii="Times New Roman" w:hAnsi="Times New Roman" w:cs="Times New Roman"/>
          <w:b/>
          <w:bCs/>
          <w:color w:val="1B3A6B"/>
          <w:sz w:val="56"/>
          <w:szCs w:val="56"/>
        </w:rPr>
      </w:pPr>
    </w:p>
    <w:p w14:paraId="4D5191D9" w14:textId="02F5D9BA" w:rsidR="05FA96B4" w:rsidRDefault="05FA96B4" w:rsidP="05FA96B4">
      <w:pPr>
        <w:spacing w:after="180"/>
        <w:jc w:val="center"/>
        <w:rPr>
          <w:rFonts w:ascii="Times New Roman" w:hAnsi="Times New Roman" w:cs="Times New Roman"/>
          <w:b/>
          <w:bCs/>
          <w:color w:val="1B3A6B"/>
          <w:sz w:val="56"/>
          <w:szCs w:val="56"/>
        </w:rPr>
      </w:pPr>
    </w:p>
    <w:p w14:paraId="1DED1653" w14:textId="297137FE" w:rsidR="0059119F" w:rsidRPr="006A7B63" w:rsidRDefault="00783E68">
      <w:pPr>
        <w:spacing w:after="180"/>
        <w:jc w:val="center"/>
        <w:rPr>
          <w:rFonts w:ascii="Times New Roman" w:hAnsi="Times New Roman" w:cs="Times New Roman"/>
        </w:rPr>
      </w:pPr>
      <w:r w:rsidRPr="006A7B63">
        <w:rPr>
          <w:rFonts w:ascii="Times New Roman" w:hAnsi="Times New Roman" w:cs="Times New Roman"/>
          <w:b/>
          <w:bCs/>
          <w:color w:val="1B3A6B"/>
          <w:sz w:val="56"/>
          <w:szCs w:val="56"/>
        </w:rPr>
        <w:t>FINAL INVESTMENT PROPOSAL REPORT</w:t>
      </w:r>
    </w:p>
    <w:p w14:paraId="2B7E28BF" w14:textId="77777777" w:rsidR="0059119F" w:rsidRPr="006A7B63" w:rsidRDefault="00783E68">
      <w:pPr>
        <w:spacing w:after="120"/>
        <w:jc w:val="center"/>
        <w:rPr>
          <w:rFonts w:ascii="Times New Roman" w:hAnsi="Times New Roman" w:cs="Times New Roman"/>
        </w:rPr>
      </w:pPr>
      <w:r w:rsidRPr="006A7B63">
        <w:rPr>
          <w:rFonts w:ascii="Times New Roman" w:hAnsi="Times New Roman" w:cs="Times New Roman"/>
          <w:b/>
          <w:bCs/>
          <w:color w:val="2C5F8A"/>
          <w:sz w:val="34"/>
          <w:szCs w:val="34"/>
        </w:rPr>
        <w:t>American Eagle Outfitters, Inc. (NYSE: AEO)</w:t>
      </w:r>
    </w:p>
    <w:p w14:paraId="21EE02E0" w14:textId="5920A8EE" w:rsidR="0059119F" w:rsidRPr="006A7B63" w:rsidRDefault="00783E68">
      <w:pPr>
        <w:spacing w:after="80"/>
        <w:jc w:val="center"/>
        <w:rPr>
          <w:rFonts w:ascii="Times New Roman" w:hAnsi="Times New Roman" w:cs="Times New Roman"/>
        </w:rPr>
      </w:pPr>
      <w:r w:rsidRPr="006A7B63">
        <w:rPr>
          <w:rFonts w:ascii="Times New Roman" w:hAnsi="Times New Roman" w:cs="Times New Roman"/>
          <w:color w:val="555555"/>
          <w:sz w:val="24"/>
          <w:szCs w:val="24"/>
        </w:rPr>
        <w:t xml:space="preserve">Sector: Specialty </w:t>
      </w:r>
      <w:r w:rsidR="008A224C" w:rsidRPr="006A7B63">
        <w:rPr>
          <w:rFonts w:ascii="Times New Roman" w:hAnsi="Times New Roman" w:cs="Times New Roman"/>
          <w:color w:val="555555"/>
          <w:sz w:val="24"/>
          <w:szCs w:val="24"/>
        </w:rPr>
        <w:t xml:space="preserve">Retail </w:t>
      </w:r>
      <w:r w:rsidR="00045689" w:rsidRPr="006A7B63">
        <w:rPr>
          <w:rFonts w:ascii="Times New Roman" w:hAnsi="Times New Roman" w:cs="Times New Roman"/>
          <w:color w:val="555555"/>
          <w:sz w:val="24"/>
          <w:szCs w:val="24"/>
        </w:rPr>
        <w:t>| Industry</w:t>
      </w:r>
      <w:r w:rsidRPr="006A7B63">
        <w:rPr>
          <w:rFonts w:ascii="Times New Roman" w:hAnsi="Times New Roman" w:cs="Times New Roman"/>
          <w:color w:val="555555"/>
          <w:sz w:val="24"/>
          <w:szCs w:val="24"/>
        </w:rPr>
        <w:t>: Apparel Retail</w:t>
      </w:r>
    </w:p>
    <w:p w14:paraId="42F11CE6" w14:textId="77777777" w:rsidR="0059119F" w:rsidRPr="006A7B63" w:rsidRDefault="00783E68" w:rsidP="05FA96B4">
      <w:pPr>
        <w:spacing w:after="600"/>
        <w:jc w:val="center"/>
        <w:rPr>
          <w:rFonts w:ascii="Times New Roman" w:hAnsi="Times New Roman" w:cs="Times New Roman"/>
        </w:rPr>
      </w:pPr>
      <w:r w:rsidRPr="006A7B63">
        <w:rPr>
          <w:rFonts w:ascii="Times New Roman" w:hAnsi="Times New Roman" w:cs="Times New Roman"/>
          <w:b/>
          <w:bCs/>
          <w:color w:val="1A6B2C"/>
          <w:sz w:val="36"/>
          <w:szCs w:val="36"/>
        </w:rPr>
        <w:t>Recommendation: BUY</w:t>
      </w:r>
    </w:p>
    <w:p w14:paraId="36EE6F02" w14:textId="77777777" w:rsidR="0059119F" w:rsidRPr="006A7B63" w:rsidRDefault="0059119F" w:rsidP="05FA96B4">
      <w:pPr>
        <w:rPr>
          <w:rFonts w:ascii="Times New Roman" w:hAnsi="Times New Roman" w:cs="Times New Roman"/>
        </w:rPr>
      </w:pPr>
    </w:p>
    <w:p w14:paraId="74257631" w14:textId="77777777" w:rsidR="0059119F" w:rsidRPr="006A7B63" w:rsidRDefault="00783E68" w:rsidP="05FA96B4">
      <w:pPr>
        <w:spacing w:after="60"/>
        <w:jc w:val="center"/>
        <w:rPr>
          <w:rFonts w:ascii="Times New Roman" w:hAnsi="Times New Roman" w:cs="Times New Roman"/>
        </w:rPr>
      </w:pPr>
      <w:r w:rsidRPr="006A7B63">
        <w:rPr>
          <w:rFonts w:ascii="Times New Roman" w:hAnsi="Times New Roman" w:cs="Times New Roman"/>
          <w:color w:val="444444"/>
          <w:sz w:val="22"/>
          <w:szCs w:val="22"/>
        </w:rPr>
        <w:t xml:space="preserve">Prepared by: Mary </w:t>
      </w:r>
      <w:proofErr w:type="spellStart"/>
      <w:r w:rsidRPr="006A7B63">
        <w:rPr>
          <w:rFonts w:ascii="Times New Roman" w:hAnsi="Times New Roman" w:cs="Times New Roman"/>
          <w:color w:val="444444"/>
          <w:sz w:val="22"/>
          <w:szCs w:val="22"/>
        </w:rPr>
        <w:t>Falatau</w:t>
      </w:r>
      <w:proofErr w:type="spellEnd"/>
      <w:r w:rsidRPr="006A7B63">
        <w:rPr>
          <w:rFonts w:ascii="Times New Roman" w:hAnsi="Times New Roman" w:cs="Times New Roman"/>
          <w:color w:val="444444"/>
          <w:sz w:val="22"/>
          <w:szCs w:val="22"/>
        </w:rPr>
        <w:t xml:space="preserve">, </w:t>
      </w:r>
      <w:proofErr w:type="spellStart"/>
      <w:r w:rsidRPr="006A7B63">
        <w:rPr>
          <w:rFonts w:ascii="Times New Roman" w:hAnsi="Times New Roman" w:cs="Times New Roman"/>
          <w:color w:val="444444"/>
          <w:sz w:val="22"/>
          <w:szCs w:val="22"/>
        </w:rPr>
        <w:t>Tijane</w:t>
      </w:r>
      <w:proofErr w:type="spellEnd"/>
      <w:r w:rsidRPr="006A7B63">
        <w:rPr>
          <w:rFonts w:ascii="Times New Roman" w:hAnsi="Times New Roman" w:cs="Times New Roman"/>
          <w:color w:val="444444"/>
          <w:sz w:val="22"/>
          <w:szCs w:val="22"/>
        </w:rPr>
        <w:t xml:space="preserve"> </w:t>
      </w:r>
      <w:proofErr w:type="spellStart"/>
      <w:r w:rsidRPr="006A7B63">
        <w:rPr>
          <w:rFonts w:ascii="Times New Roman" w:hAnsi="Times New Roman" w:cs="Times New Roman"/>
          <w:color w:val="444444"/>
          <w:sz w:val="22"/>
          <w:szCs w:val="22"/>
        </w:rPr>
        <w:t>Paug</w:t>
      </w:r>
      <w:proofErr w:type="spellEnd"/>
      <w:r w:rsidRPr="006A7B63">
        <w:rPr>
          <w:rFonts w:ascii="Times New Roman" w:hAnsi="Times New Roman" w:cs="Times New Roman"/>
          <w:color w:val="444444"/>
          <w:sz w:val="22"/>
          <w:szCs w:val="22"/>
        </w:rPr>
        <w:t>, Meredith Villaluz</w:t>
      </w:r>
    </w:p>
    <w:p w14:paraId="5C34272A" w14:textId="77777777" w:rsidR="0059119F" w:rsidRPr="006A7B63" w:rsidRDefault="00783E68" w:rsidP="05FA96B4">
      <w:pPr>
        <w:spacing w:after="60"/>
        <w:jc w:val="center"/>
        <w:rPr>
          <w:rFonts w:ascii="Times New Roman" w:hAnsi="Times New Roman" w:cs="Times New Roman"/>
        </w:rPr>
      </w:pPr>
      <w:r w:rsidRPr="006A7B63">
        <w:rPr>
          <w:rFonts w:ascii="Times New Roman" w:hAnsi="Times New Roman" w:cs="Times New Roman"/>
          <w:color w:val="444444"/>
          <w:sz w:val="22"/>
          <w:szCs w:val="22"/>
        </w:rPr>
        <w:t xml:space="preserve">Professor: </w:t>
      </w:r>
      <w:proofErr w:type="spellStart"/>
      <w:r w:rsidRPr="006A7B63">
        <w:rPr>
          <w:rFonts w:ascii="Times New Roman" w:hAnsi="Times New Roman" w:cs="Times New Roman"/>
          <w:color w:val="444444"/>
          <w:sz w:val="22"/>
          <w:szCs w:val="22"/>
        </w:rPr>
        <w:t>Junjiro</w:t>
      </w:r>
      <w:proofErr w:type="spellEnd"/>
      <w:r w:rsidRPr="006A7B63">
        <w:rPr>
          <w:rFonts w:ascii="Times New Roman" w:hAnsi="Times New Roman" w:cs="Times New Roman"/>
          <w:color w:val="444444"/>
          <w:sz w:val="22"/>
          <w:szCs w:val="22"/>
        </w:rPr>
        <w:t xml:space="preserve"> </w:t>
      </w:r>
      <w:proofErr w:type="spellStart"/>
      <w:r w:rsidRPr="006A7B63">
        <w:rPr>
          <w:rFonts w:ascii="Times New Roman" w:hAnsi="Times New Roman" w:cs="Times New Roman"/>
          <w:color w:val="444444"/>
          <w:sz w:val="22"/>
          <w:szCs w:val="22"/>
        </w:rPr>
        <w:t>Makise</w:t>
      </w:r>
      <w:proofErr w:type="spellEnd"/>
    </w:p>
    <w:p w14:paraId="57CF6FB7" w14:textId="77777777" w:rsidR="0059119F" w:rsidRPr="006A7B63" w:rsidRDefault="00783E68" w:rsidP="05FA96B4">
      <w:pPr>
        <w:spacing w:after="60"/>
        <w:jc w:val="center"/>
        <w:rPr>
          <w:rFonts w:ascii="Times New Roman" w:hAnsi="Times New Roman" w:cs="Times New Roman"/>
        </w:rPr>
      </w:pPr>
      <w:r w:rsidRPr="006A7B63">
        <w:rPr>
          <w:rFonts w:ascii="Times New Roman" w:hAnsi="Times New Roman" w:cs="Times New Roman"/>
          <w:color w:val="444444"/>
          <w:sz w:val="22"/>
          <w:szCs w:val="22"/>
        </w:rPr>
        <w:t>Course: FIN360 – Corporate Financial Statement Analysis</w:t>
      </w:r>
    </w:p>
    <w:p w14:paraId="4BFDAA2E" w14:textId="357735EF" w:rsidR="0059119F" w:rsidRPr="006A7B63" w:rsidRDefault="00783E68" w:rsidP="05FA96B4">
      <w:pPr>
        <w:spacing w:after="60"/>
        <w:jc w:val="center"/>
        <w:rPr>
          <w:rFonts w:ascii="Times New Roman" w:hAnsi="Times New Roman" w:cs="Times New Roman"/>
        </w:rPr>
      </w:pPr>
      <w:r w:rsidRPr="006A7B63">
        <w:rPr>
          <w:rFonts w:ascii="Times New Roman" w:hAnsi="Times New Roman" w:cs="Times New Roman"/>
          <w:color w:val="444444"/>
          <w:sz w:val="22"/>
          <w:szCs w:val="22"/>
        </w:rPr>
        <w:t>Brigham Young University–</w:t>
      </w:r>
      <w:r w:rsidR="00045689" w:rsidRPr="006A7B63">
        <w:rPr>
          <w:rFonts w:ascii="Times New Roman" w:hAnsi="Times New Roman" w:cs="Times New Roman"/>
          <w:color w:val="444444"/>
          <w:sz w:val="22"/>
          <w:szCs w:val="22"/>
        </w:rPr>
        <w:t xml:space="preserve">Hawaii </w:t>
      </w:r>
      <w:r w:rsidR="00864B15" w:rsidRPr="006A7B63">
        <w:rPr>
          <w:rFonts w:ascii="Times New Roman" w:hAnsi="Times New Roman" w:cs="Times New Roman"/>
          <w:color w:val="444444"/>
          <w:sz w:val="22"/>
          <w:szCs w:val="22"/>
        </w:rPr>
        <w:t>| April</w:t>
      </w:r>
      <w:r w:rsidRPr="006A7B63">
        <w:rPr>
          <w:rFonts w:ascii="Times New Roman" w:hAnsi="Times New Roman" w:cs="Times New Roman"/>
          <w:color w:val="444444"/>
          <w:sz w:val="22"/>
          <w:szCs w:val="22"/>
        </w:rPr>
        <w:t xml:space="preserve"> 2026</w:t>
      </w:r>
    </w:p>
    <w:p w14:paraId="5D76735C" w14:textId="77777777" w:rsidR="0059119F" w:rsidRPr="006A7B63" w:rsidRDefault="00783E68">
      <w:pPr>
        <w:rPr>
          <w:rFonts w:ascii="Times New Roman" w:hAnsi="Times New Roman" w:cs="Times New Roman"/>
        </w:rPr>
      </w:pPr>
      <w:r w:rsidRPr="006A7B63">
        <w:rPr>
          <w:rFonts w:ascii="Times New Roman" w:hAnsi="Times New Roman" w:cs="Times New Roman"/>
        </w:rPr>
        <w:br w:type="page"/>
      </w:r>
    </w:p>
    <w:p w14:paraId="0E91C7D4" w14:textId="220A801A" w:rsidR="0059119F" w:rsidRPr="006A7B63" w:rsidRDefault="00783E68" w:rsidP="05FA96B4">
      <w:pPr>
        <w:pStyle w:val="Heading1"/>
        <w:pBdr>
          <w:bottom w:val="single" w:sz="6" w:space="4" w:color="1B3A6B"/>
        </w:pBdr>
        <w:spacing w:before="0"/>
        <w:rPr>
          <w:rFonts w:ascii="Times New Roman" w:hAnsi="Times New Roman" w:cs="Times New Roman"/>
        </w:rPr>
      </w:pPr>
      <w:r w:rsidRPr="006A7B63">
        <w:rPr>
          <w:rFonts w:ascii="Times New Roman" w:hAnsi="Times New Roman" w:cs="Times New Roman"/>
        </w:rPr>
        <w:lastRenderedPageBreak/>
        <w:t>1. Investment Recommendation</w:t>
      </w:r>
    </w:p>
    <w:p w14:paraId="341869B1" w14:textId="176B6A59" w:rsidR="002D34C4" w:rsidRPr="006A7B63" w:rsidRDefault="002D34C4" w:rsidP="007F56A8">
      <w:pPr>
        <w:spacing w:after="100"/>
        <w:rPr>
          <w:rFonts w:ascii="Times New Roman" w:hAnsi="Times New Roman" w:cs="Times New Roman"/>
        </w:rPr>
      </w:pPr>
      <w:r w:rsidRPr="006A7B63">
        <w:rPr>
          <w:rFonts w:ascii="Times New Roman" w:hAnsi="Times New Roman" w:cs="Times New Roman"/>
          <w:b/>
          <w:bCs/>
          <w:color w:val="1A6B2C"/>
          <w:sz w:val="32"/>
          <w:szCs w:val="32"/>
        </w:rPr>
        <w:t>Recommendation: BUY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D34C4" w:rsidRPr="006A7B63" w14:paraId="479354B4" w14:textId="77777777" w:rsidTr="009D3D48">
        <w:tc>
          <w:tcPr>
            <w:tcW w:w="2340" w:type="dxa"/>
            <w:tcBorders>
              <w:top w:val="single" w:sz="1" w:space="0" w:color="CCCCCC"/>
              <w:left w:val="single" w:sz="1" w:space="0" w:color="CCCCCC"/>
              <w:bottom w:val="single" w:sz="1" w:space="0" w:color="CCCCCC"/>
              <w:right w:val="single" w:sz="1" w:space="0" w:color="CCCCCC"/>
            </w:tcBorders>
            <w:shd w:val="clear" w:color="auto" w:fill="1A6B2C"/>
            <w:tcMar>
              <w:top w:w="80" w:type="dxa"/>
              <w:left w:w="110" w:type="dxa"/>
              <w:bottom w:w="80" w:type="dxa"/>
              <w:right w:w="110" w:type="dxa"/>
            </w:tcMar>
            <w:vAlign w:val="center"/>
          </w:tcPr>
          <w:p w14:paraId="279B89F0" w14:textId="77777777" w:rsidR="002D34C4" w:rsidRPr="006A7B63" w:rsidRDefault="002D34C4"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Current Price</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15077F7A" w14:textId="77777777" w:rsidR="002D34C4" w:rsidRPr="006A7B63" w:rsidRDefault="002D34C4"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DDM P0</w:t>
            </w:r>
          </w:p>
        </w:tc>
        <w:tc>
          <w:tcPr>
            <w:tcW w:w="23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10" w:type="dxa"/>
              <w:bottom w:w="80" w:type="dxa"/>
              <w:right w:w="110" w:type="dxa"/>
            </w:tcMar>
            <w:vAlign w:val="center"/>
          </w:tcPr>
          <w:p w14:paraId="5BB22324" w14:textId="77777777" w:rsidR="002D34C4" w:rsidRPr="006A7B63" w:rsidRDefault="002D34C4"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12-Mo Target (</w:t>
            </w:r>
            <w:proofErr w:type="spellStart"/>
            <w:r w:rsidRPr="05FA96B4">
              <w:rPr>
                <w:rFonts w:ascii="Times New Roman" w:hAnsi="Times New Roman" w:cs="Times New Roman"/>
                <w:b/>
                <w:color w:val="FFFFFF" w:themeColor="background1"/>
                <w:sz w:val="19"/>
                <w:szCs w:val="19"/>
              </w:rPr>
              <w:t>Wtd</w:t>
            </w:r>
            <w:proofErr w:type="spellEnd"/>
            <w:r w:rsidRPr="05FA96B4">
              <w:rPr>
                <w:rFonts w:ascii="Times New Roman" w:hAnsi="Times New Roman" w:cs="Times New Roman"/>
                <w:b/>
                <w:color w:val="FFFFFF" w:themeColor="background1"/>
                <w:sz w:val="19"/>
                <w:szCs w:val="19"/>
              </w:rPr>
              <w:t>.)</w:t>
            </w:r>
          </w:p>
        </w:tc>
        <w:tc>
          <w:tcPr>
            <w:tcW w:w="234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10" w:type="dxa"/>
              <w:bottom w:w="80" w:type="dxa"/>
              <w:right w:w="110" w:type="dxa"/>
            </w:tcMar>
            <w:vAlign w:val="center"/>
          </w:tcPr>
          <w:p w14:paraId="5BFB0247" w14:textId="77777777" w:rsidR="002D34C4" w:rsidRPr="006A7B63" w:rsidRDefault="002D34C4"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WACC</w:t>
            </w:r>
          </w:p>
        </w:tc>
      </w:tr>
      <w:tr w:rsidR="002D34C4" w:rsidRPr="006A7B63" w14:paraId="58E13F92" w14:textId="77777777" w:rsidTr="05FA96B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A256157" w14:textId="77777777" w:rsidR="002D34C4" w:rsidRPr="006A7B63" w:rsidRDefault="002D34C4" w:rsidP="009D3D48">
            <w:pPr>
              <w:jc w:val="center"/>
              <w:rPr>
                <w:rFonts w:ascii="Times New Roman" w:hAnsi="Times New Roman" w:cs="Times New Roman"/>
              </w:rPr>
            </w:pPr>
            <w:r w:rsidRPr="006A7B63">
              <w:rPr>
                <w:rFonts w:ascii="Times New Roman" w:hAnsi="Times New Roman" w:cs="Times New Roman"/>
                <w:b/>
                <w:bCs/>
                <w:color w:val="1A6B2C"/>
                <w:sz w:val="19"/>
                <w:szCs w:val="19"/>
              </w:rPr>
              <w:t>$16.70 (Mar 31,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71452A6" w14:textId="77777777" w:rsidR="002D34C4" w:rsidRPr="006A7B63" w:rsidRDefault="002D34C4" w:rsidP="009D3D48">
            <w:pPr>
              <w:jc w:val="center"/>
              <w:rPr>
                <w:rFonts w:ascii="Times New Roman" w:hAnsi="Times New Roman" w:cs="Times New Roman"/>
              </w:rPr>
            </w:pPr>
            <w:r w:rsidRPr="006A7B63">
              <w:rPr>
                <w:rFonts w:ascii="Times New Roman" w:hAnsi="Times New Roman" w:cs="Times New Roman"/>
                <w:b/>
                <w:bCs/>
                <w:color w:val="1B3A6B"/>
                <w:sz w:val="19"/>
                <w:szCs w:val="19"/>
              </w:rPr>
              <w:t>$11.61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1B37084" w14:textId="77777777" w:rsidR="002D34C4" w:rsidRPr="006A7B63" w:rsidRDefault="002D34C4" w:rsidP="009D3D48">
            <w:pPr>
              <w:jc w:val="center"/>
              <w:rPr>
                <w:rFonts w:ascii="Times New Roman" w:hAnsi="Times New Roman" w:cs="Times New Roman"/>
              </w:rPr>
            </w:pPr>
            <w:r w:rsidRPr="006A7B63">
              <w:rPr>
                <w:rFonts w:ascii="Times New Roman" w:hAnsi="Times New Roman" w:cs="Times New Roman"/>
                <w:b/>
                <w:bCs/>
                <w:color w:val="2C5F8A"/>
                <w:sz w:val="19"/>
                <w:szCs w:val="19"/>
              </w:rPr>
              <w:t>$35.11 (Sector Med.)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4BF032FF" w14:textId="77777777" w:rsidR="002D34C4" w:rsidRPr="006A7B63" w:rsidRDefault="002D34C4" w:rsidP="009D3D48">
            <w:pPr>
              <w:jc w:val="center"/>
              <w:rPr>
                <w:rFonts w:ascii="Times New Roman" w:hAnsi="Times New Roman" w:cs="Times New Roman"/>
              </w:rPr>
            </w:pPr>
            <w:r w:rsidRPr="006A7B63">
              <w:rPr>
                <w:rFonts w:ascii="Times New Roman" w:hAnsi="Times New Roman" w:cs="Times New Roman"/>
                <w:b/>
                <w:bCs/>
                <w:color w:val="444444"/>
                <w:sz w:val="19"/>
                <w:szCs w:val="19"/>
              </w:rPr>
              <w:t>13.90%</w:t>
            </w:r>
          </w:p>
        </w:tc>
      </w:tr>
    </w:tbl>
    <w:p w14:paraId="26EC8DCD" w14:textId="0F1E6942" w:rsidR="002D34C4" w:rsidRPr="007F56A8" w:rsidRDefault="00ED60FC" w:rsidP="05FA96B4">
      <w:pPr>
        <w:spacing w:after="70" w:line="280" w:lineRule="auto"/>
        <w:ind w:firstLine="720"/>
        <w:jc w:val="both"/>
        <w:rPr>
          <w:rFonts w:ascii="Times New Roman" w:hAnsi="Times New Roman" w:cs="Times New Roman"/>
          <w:sz w:val="22"/>
          <w:szCs w:val="22"/>
        </w:rPr>
      </w:pPr>
      <w:r w:rsidRPr="00ED60FC">
        <w:rPr>
          <w:rFonts w:ascii="Times New Roman" w:hAnsi="Times New Roman" w:cs="Times New Roman"/>
          <w:color w:val="222222"/>
          <w:sz w:val="22"/>
          <w:szCs w:val="22"/>
        </w:rPr>
        <w:t>We recommend buying American Eagle Outfitters, Inc. (NYSE: AEO). Our valuation uses five methods, each weighted by its reliability: DCF (45%), EV/EBITDA (25%), EV/EBIT (10%), P/E multiples (10%), and PEG ratio (10%), as outlined in our Valuation Explanation. This approach balances AEO’s strong cash flow fundamentals with market benchmarks while avoiding over-reliance on any single assumption. The 12-month target price of $35.11 (based on sector median) suggests a 110.2% upside from the current $16.70, and the analyst consensus of $35.00 supports this target.</w:t>
      </w:r>
    </w:p>
    <w:p w14:paraId="5315FDC5" w14:textId="78B6E7C1" w:rsidR="002D34C4" w:rsidRPr="007F56A8" w:rsidRDefault="00ED60FC" w:rsidP="05FA96B4">
      <w:pPr>
        <w:spacing w:after="70" w:line="280" w:lineRule="auto"/>
        <w:ind w:firstLine="720"/>
        <w:jc w:val="both"/>
        <w:rPr>
          <w:rFonts w:ascii="Times New Roman" w:hAnsi="Times New Roman" w:cs="Times New Roman"/>
          <w:sz w:val="22"/>
          <w:szCs w:val="22"/>
        </w:rPr>
      </w:pPr>
      <w:r w:rsidRPr="00ED60FC">
        <w:rPr>
          <w:rFonts w:ascii="Times New Roman" w:hAnsi="Times New Roman" w:cs="Times New Roman"/>
          <w:color w:val="222222"/>
          <w:sz w:val="22"/>
          <w:szCs w:val="22"/>
        </w:rPr>
        <w:t>Our DDM intrinsic value of $11.61 is seen as a conservative baseline based solely on dividends. Since AEO primarily creates value through earnings growth and share buybacks rather than dividends, a multi-method approach anchored in discounted cash flow (DCF) provides a more suitable perspective for a total-return investor.</w:t>
      </w:r>
    </w:p>
    <w:p w14:paraId="00E67598" w14:textId="77777777" w:rsidR="002D34C4" w:rsidRPr="006A7B63" w:rsidRDefault="002D34C4" w:rsidP="05FA96B4">
      <w:pPr>
        <w:pStyle w:val="Heading2"/>
        <w:spacing w:before="0"/>
        <w:jc w:val="both"/>
        <w:rPr>
          <w:rFonts w:ascii="Times New Roman" w:hAnsi="Times New Roman" w:cs="Times New Roman"/>
        </w:rPr>
      </w:pPr>
      <w:r w:rsidRPr="006A7B63">
        <w:rPr>
          <w:rFonts w:ascii="Times New Roman" w:hAnsi="Times New Roman" w:cs="Times New Roman"/>
        </w:rPr>
        <w:t>Key Investment Thesis</w:t>
      </w:r>
    </w:p>
    <w:p w14:paraId="2439E8AA" w14:textId="74B49169" w:rsidR="002D34C4" w:rsidRPr="00ED60FC" w:rsidRDefault="00597DAC" w:rsidP="05FA96B4">
      <w:pPr>
        <w:pStyle w:val="ListParagraph"/>
        <w:numPr>
          <w:ilvl w:val="0"/>
          <w:numId w:val="9"/>
        </w:numPr>
        <w:spacing w:after="35" w:line="270" w:lineRule="auto"/>
        <w:jc w:val="both"/>
        <w:rPr>
          <w:rFonts w:ascii="Times New Roman" w:hAnsi="Times New Roman" w:cs="Times New Roman"/>
          <w:sz w:val="22"/>
          <w:szCs w:val="22"/>
        </w:rPr>
      </w:pPr>
      <w:r w:rsidRPr="00597DAC">
        <w:rPr>
          <w:rFonts w:ascii="Times New Roman" w:hAnsi="Times New Roman" w:cs="Times New Roman"/>
          <w:sz w:val="22"/>
          <w:szCs w:val="22"/>
        </w:rPr>
        <w:t>Revenue is projected to grow from $5.33 billion in FY2024 to $6.53 billion in FY2031. This increase is fueled by an estimated 3% yearly growth in the specialty retail sector, the rise in apparel e-commerce penetration from 27% in 2019 to over 43% currently, and the expansion of the global athleisure market from $306 billion in 2021 to around $492 billion by 2027.</w:t>
      </w:r>
    </w:p>
    <w:p w14:paraId="5C9F8E2F" w14:textId="64DA15E7" w:rsidR="002D34C4" w:rsidRPr="00ED60FC" w:rsidRDefault="00597DAC" w:rsidP="05FA96B4">
      <w:pPr>
        <w:pStyle w:val="ListParagraph"/>
        <w:numPr>
          <w:ilvl w:val="0"/>
          <w:numId w:val="9"/>
        </w:numPr>
        <w:spacing w:after="35" w:line="270" w:lineRule="auto"/>
        <w:jc w:val="both"/>
        <w:rPr>
          <w:rFonts w:ascii="Times New Roman" w:hAnsi="Times New Roman" w:cs="Times New Roman"/>
          <w:sz w:val="22"/>
          <w:szCs w:val="22"/>
        </w:rPr>
      </w:pPr>
      <w:r w:rsidRPr="00597DAC">
        <w:rPr>
          <w:rFonts w:ascii="Times New Roman" w:hAnsi="Times New Roman" w:cs="Times New Roman"/>
          <w:sz w:val="22"/>
          <w:szCs w:val="22"/>
        </w:rPr>
        <w:t xml:space="preserve">Gross margin is projected to increase from 39.2% in FY2024 to 45.0% in FY2031, driven by disciplined cost management, better sourcing, and a shift toward Aerie’s </w:t>
      </w:r>
      <w:proofErr w:type="gramStart"/>
      <w:r w:rsidRPr="00597DAC">
        <w:rPr>
          <w:rFonts w:ascii="Times New Roman" w:hAnsi="Times New Roman" w:cs="Times New Roman"/>
          <w:sz w:val="22"/>
          <w:szCs w:val="22"/>
        </w:rPr>
        <w:t>higher-margin</w:t>
      </w:r>
      <w:proofErr w:type="gramEnd"/>
      <w:r w:rsidRPr="00597DAC">
        <w:rPr>
          <w:rFonts w:ascii="Times New Roman" w:hAnsi="Times New Roman" w:cs="Times New Roman"/>
          <w:sz w:val="22"/>
          <w:szCs w:val="22"/>
        </w:rPr>
        <w:t xml:space="preserve"> activewear.</w:t>
      </w:r>
    </w:p>
    <w:p w14:paraId="701E90E7" w14:textId="28E1E1A4" w:rsidR="002D34C4" w:rsidRPr="00ED60FC" w:rsidRDefault="00597DAC" w:rsidP="05FA96B4">
      <w:pPr>
        <w:pStyle w:val="ListParagraph"/>
        <w:numPr>
          <w:ilvl w:val="0"/>
          <w:numId w:val="9"/>
        </w:numPr>
        <w:spacing w:after="35" w:line="270" w:lineRule="auto"/>
        <w:jc w:val="both"/>
        <w:rPr>
          <w:rFonts w:ascii="Times New Roman" w:hAnsi="Times New Roman" w:cs="Times New Roman"/>
          <w:sz w:val="22"/>
          <w:szCs w:val="22"/>
        </w:rPr>
      </w:pPr>
      <w:r w:rsidRPr="00597DAC">
        <w:rPr>
          <w:rFonts w:ascii="Times New Roman" w:hAnsi="Times New Roman" w:cs="Times New Roman"/>
          <w:sz w:val="22"/>
          <w:szCs w:val="22"/>
        </w:rPr>
        <w:t>Net income is expected to rise from $329M in FY2024 to $763M by FY2031, representing a 132% growth, primarily due to operational enhancements and without any financial leverage.</w:t>
      </w:r>
    </w:p>
    <w:p w14:paraId="5FA9DEC2" w14:textId="6D43C34C" w:rsidR="002D34C4" w:rsidRPr="00ED60FC" w:rsidRDefault="00597DAC" w:rsidP="05FA96B4">
      <w:pPr>
        <w:pStyle w:val="ListParagraph"/>
        <w:numPr>
          <w:ilvl w:val="0"/>
          <w:numId w:val="9"/>
        </w:numPr>
        <w:spacing w:after="35" w:line="270" w:lineRule="auto"/>
        <w:jc w:val="both"/>
        <w:rPr>
          <w:rFonts w:ascii="Times New Roman" w:hAnsi="Times New Roman" w:cs="Times New Roman"/>
          <w:sz w:val="22"/>
          <w:szCs w:val="22"/>
        </w:rPr>
      </w:pPr>
      <w:r w:rsidRPr="00597DAC">
        <w:rPr>
          <w:rFonts w:ascii="Times New Roman" w:hAnsi="Times New Roman" w:cs="Times New Roman"/>
          <w:sz w:val="22"/>
          <w:szCs w:val="22"/>
        </w:rPr>
        <w:t>Zero long-term debt maintained through FY2030, featuring the cleanest balance sheet among specialty retail peers, with over $190M returned via buybacks in FY2024.</w:t>
      </w:r>
    </w:p>
    <w:p w14:paraId="12D3A773" w14:textId="4D889331" w:rsidR="002D34C4" w:rsidRPr="00ED60FC" w:rsidRDefault="00597DAC" w:rsidP="05FA96B4">
      <w:pPr>
        <w:pStyle w:val="ListParagraph"/>
        <w:numPr>
          <w:ilvl w:val="0"/>
          <w:numId w:val="9"/>
        </w:numPr>
        <w:spacing w:after="35" w:line="270" w:lineRule="auto"/>
        <w:jc w:val="both"/>
        <w:rPr>
          <w:rFonts w:ascii="Times New Roman" w:hAnsi="Times New Roman" w:cs="Times New Roman"/>
          <w:sz w:val="22"/>
          <w:szCs w:val="22"/>
        </w:rPr>
      </w:pPr>
      <w:r w:rsidRPr="00597DAC">
        <w:rPr>
          <w:rFonts w:ascii="Times New Roman" w:hAnsi="Times New Roman" w:cs="Times New Roman"/>
          <w:sz w:val="22"/>
          <w:szCs w:val="22"/>
        </w:rPr>
        <w:t>AEO is trading at a 14–41% discount compared to the sector median across various valuation metrics, indicating significant market mispricing.</w:t>
      </w:r>
    </w:p>
    <w:p w14:paraId="09F7E0A4" w14:textId="1D22EB9C" w:rsidR="002D34C4" w:rsidRPr="00ED60FC" w:rsidRDefault="00597DAC" w:rsidP="05FA96B4">
      <w:pPr>
        <w:pStyle w:val="ListParagraph"/>
        <w:numPr>
          <w:ilvl w:val="0"/>
          <w:numId w:val="9"/>
        </w:numPr>
        <w:spacing w:after="35" w:line="270" w:lineRule="auto"/>
        <w:jc w:val="both"/>
        <w:rPr>
          <w:rFonts w:ascii="Times New Roman" w:hAnsi="Times New Roman" w:cs="Times New Roman"/>
          <w:sz w:val="22"/>
          <w:szCs w:val="22"/>
        </w:rPr>
      </w:pPr>
      <w:r w:rsidRPr="00597DAC">
        <w:rPr>
          <w:rFonts w:ascii="Times New Roman" w:hAnsi="Times New Roman" w:cs="Times New Roman"/>
          <w:sz w:val="22"/>
          <w:szCs w:val="22"/>
        </w:rPr>
        <w:t>Weighted average target today: $27.79 (sector median) / $28.43 (comparable average). 12-Month: $35.11 (sector median) / $28.85 (comparable average).</w:t>
      </w:r>
    </w:p>
    <w:p w14:paraId="017F92FF" w14:textId="77777777" w:rsidR="00381400" w:rsidRDefault="00381400" w:rsidP="05FA96B4">
      <w:pPr>
        <w:pStyle w:val="Heading1"/>
        <w:pBdr>
          <w:bottom w:val="single" w:sz="6" w:space="4" w:color="1B3A6B"/>
        </w:pBdr>
        <w:spacing w:before="0"/>
        <w:rPr>
          <w:rFonts w:ascii="Times New Roman" w:hAnsi="Times New Roman" w:cs="Times New Roman"/>
        </w:rPr>
      </w:pPr>
    </w:p>
    <w:p w14:paraId="1762E5AF" w14:textId="3940AED2" w:rsidR="00F515A3" w:rsidRPr="006A7B63" w:rsidRDefault="00F515A3" w:rsidP="05FA96B4">
      <w:pPr>
        <w:pStyle w:val="Heading1"/>
        <w:pBdr>
          <w:bottom w:val="single" w:sz="6" w:space="4" w:color="1B3A6B"/>
        </w:pBdr>
        <w:spacing w:before="0"/>
        <w:rPr>
          <w:rFonts w:ascii="Times New Roman" w:hAnsi="Times New Roman" w:cs="Times New Roman"/>
        </w:rPr>
      </w:pPr>
      <w:r w:rsidRPr="006A7B63">
        <w:rPr>
          <w:rFonts w:ascii="Times New Roman" w:hAnsi="Times New Roman" w:cs="Times New Roman"/>
        </w:rPr>
        <w:t>2. Business Overview</w:t>
      </w:r>
    </w:p>
    <w:p w14:paraId="4812276A" w14:textId="77777777" w:rsidR="00F515A3" w:rsidRPr="006A7B63" w:rsidRDefault="00F515A3" w:rsidP="05FA96B4">
      <w:pPr>
        <w:pStyle w:val="Heading2"/>
        <w:spacing w:before="0"/>
        <w:rPr>
          <w:rFonts w:ascii="Times New Roman" w:hAnsi="Times New Roman" w:cs="Times New Roman"/>
        </w:rPr>
      </w:pPr>
      <w:r w:rsidRPr="006A7B63">
        <w:rPr>
          <w:rFonts w:ascii="Times New Roman" w:hAnsi="Times New Roman" w:cs="Times New Roman"/>
        </w:rPr>
        <w:t>Company Profile</w:t>
      </w:r>
    </w:p>
    <w:p w14:paraId="7B7EFA3A" w14:textId="3CA34696" w:rsidR="00F515A3" w:rsidRPr="00AF1B45" w:rsidRDefault="00597DAC" w:rsidP="05FA96B4">
      <w:pPr>
        <w:spacing w:after="70" w:line="280" w:lineRule="auto"/>
        <w:ind w:firstLine="720"/>
        <w:jc w:val="both"/>
        <w:rPr>
          <w:rFonts w:ascii="Times New Roman" w:hAnsi="Times New Roman" w:cs="Times New Roman"/>
          <w:sz w:val="22"/>
          <w:szCs w:val="22"/>
        </w:rPr>
      </w:pPr>
      <w:r w:rsidRPr="00AF1B45">
        <w:rPr>
          <w:rFonts w:ascii="Times New Roman" w:hAnsi="Times New Roman" w:cs="Times New Roman"/>
          <w:color w:val="222222"/>
          <w:sz w:val="22"/>
          <w:szCs w:val="22"/>
        </w:rPr>
        <w:t>Founded in 1977 in Pittsburgh, Pennsylvania, American Eagle Outfitters, Inc. (NYSE: AEO) has grown into one of the largest specialty apparel retailers in the United States, employing approximately 44,000 people worldwide. The company oversees two primary brands: American Eagle, which specializes in casual denim and apparel, and Aerie, known for its intimates and activewear. Additionally, it owns smaller brands like Todd Snyder and Unsubscribed.</w:t>
      </w:r>
    </w:p>
    <w:p w14:paraId="62FC2333" w14:textId="3BC5D504" w:rsidR="00F515A3" w:rsidRPr="00AF1B45" w:rsidRDefault="00F515A3" w:rsidP="05FA96B4">
      <w:pPr>
        <w:spacing w:after="70" w:line="280" w:lineRule="auto"/>
        <w:jc w:val="both"/>
        <w:rPr>
          <w:rFonts w:ascii="Times New Roman" w:hAnsi="Times New Roman" w:cs="Times New Roman"/>
          <w:sz w:val="22"/>
          <w:szCs w:val="22"/>
        </w:rPr>
      </w:pPr>
      <w:r w:rsidRPr="00AF1B45">
        <w:rPr>
          <w:rFonts w:ascii="Times New Roman" w:hAnsi="Times New Roman" w:cs="Times New Roman"/>
          <w:color w:val="222222"/>
          <w:sz w:val="22"/>
          <w:szCs w:val="22"/>
        </w:rPr>
        <w:t>By the end of fiscal year 2024 (February 1, 2025), AEO managed 1,172 company-owned stores and 371 licensed locations in over 30 countries, achieving total net revenue of $5.33 billion and a 4% increase in comparable sales compared to the previous year.</w:t>
      </w:r>
    </w:p>
    <w:p w14:paraId="7DDF3B6F" w14:textId="77777777" w:rsidR="00F515A3" w:rsidRPr="006A7B63" w:rsidRDefault="00F515A3" w:rsidP="05FA96B4">
      <w:pPr>
        <w:pStyle w:val="Heading2"/>
        <w:spacing w:before="0"/>
        <w:rPr>
          <w:rFonts w:ascii="Times New Roman" w:hAnsi="Times New Roman" w:cs="Times New Roman"/>
        </w:rPr>
      </w:pPr>
      <w:r w:rsidRPr="006A7B63">
        <w:rPr>
          <w:rFonts w:ascii="Times New Roman" w:hAnsi="Times New Roman" w:cs="Times New Roman"/>
        </w:rPr>
        <w:t>Revenue Streams &amp; Business Model</w:t>
      </w:r>
    </w:p>
    <w:p w14:paraId="3FA4952B" w14:textId="62A9222A" w:rsidR="00F515A3" w:rsidRPr="002D39F1" w:rsidRDefault="00AF1B45" w:rsidP="00AF1B45">
      <w:pPr>
        <w:pStyle w:val="Heading2"/>
        <w:numPr>
          <w:ilvl w:val="0"/>
          <w:numId w:val="6"/>
        </w:numPr>
        <w:spacing w:before="0" w:after="0"/>
        <w:jc w:val="both"/>
        <w:rPr>
          <w:rFonts w:ascii="Times New Roman" w:hAnsi="Times New Roman" w:cs="Times New Roman"/>
          <w:b w:val="0"/>
          <w:bCs w:val="0"/>
          <w:color w:val="auto"/>
          <w:sz w:val="22"/>
          <w:szCs w:val="22"/>
        </w:rPr>
      </w:pPr>
      <w:r w:rsidRPr="002D39F1">
        <w:rPr>
          <w:rFonts w:ascii="Times New Roman" w:hAnsi="Times New Roman" w:cs="Times New Roman"/>
          <w:b w:val="0"/>
          <w:bCs w:val="0"/>
          <w:color w:val="auto"/>
          <w:sz w:val="22"/>
          <w:szCs w:val="22"/>
        </w:rPr>
        <w:t>The American Eagle brand primarily offers denim, casual tops, and outerwear aimed at teens and young adults aged 15–25. </w:t>
      </w:r>
    </w:p>
    <w:p w14:paraId="744033BE" w14:textId="31B3B599" w:rsidR="00F515A3" w:rsidRPr="002D39F1" w:rsidRDefault="002D39F1" w:rsidP="00AF1B45">
      <w:pPr>
        <w:pStyle w:val="Heading2"/>
        <w:numPr>
          <w:ilvl w:val="0"/>
          <w:numId w:val="6"/>
        </w:numPr>
        <w:spacing w:before="0" w:after="0"/>
        <w:jc w:val="both"/>
        <w:rPr>
          <w:rFonts w:ascii="Times New Roman" w:hAnsi="Times New Roman" w:cs="Times New Roman"/>
          <w:b w:val="0"/>
          <w:bCs w:val="0"/>
          <w:color w:val="auto"/>
          <w:sz w:val="22"/>
          <w:szCs w:val="22"/>
        </w:rPr>
      </w:pPr>
      <w:r w:rsidRPr="002D39F1">
        <w:rPr>
          <w:rFonts w:ascii="Times New Roman" w:hAnsi="Times New Roman" w:cs="Times New Roman"/>
          <w:b w:val="0"/>
          <w:bCs w:val="0"/>
          <w:color w:val="auto"/>
          <w:sz w:val="22"/>
          <w:szCs w:val="22"/>
        </w:rPr>
        <w:t>Aerie focuses on intimates, activewear, and swimwear, emphasizing body positivity and targeting women aged 15–35. </w:t>
      </w:r>
    </w:p>
    <w:p w14:paraId="3C75BCBD" w14:textId="0DD29005" w:rsidR="00583B89" w:rsidRPr="002D39F1" w:rsidRDefault="002D39F1" w:rsidP="00AF1B45">
      <w:pPr>
        <w:pStyle w:val="Heading2"/>
        <w:numPr>
          <w:ilvl w:val="0"/>
          <w:numId w:val="6"/>
        </w:numPr>
        <w:spacing w:before="0" w:after="0"/>
        <w:jc w:val="both"/>
        <w:rPr>
          <w:rFonts w:ascii="Times New Roman" w:hAnsi="Times New Roman" w:cs="Times New Roman"/>
          <w:b w:val="0"/>
          <w:bCs w:val="0"/>
          <w:color w:val="auto"/>
          <w:sz w:val="22"/>
          <w:szCs w:val="22"/>
        </w:rPr>
      </w:pPr>
      <w:r w:rsidRPr="002D39F1">
        <w:rPr>
          <w:rFonts w:ascii="Times New Roman" w:hAnsi="Times New Roman" w:cs="Times New Roman"/>
          <w:b w:val="0"/>
          <w:bCs w:val="0"/>
          <w:color w:val="auto"/>
          <w:sz w:val="22"/>
          <w:szCs w:val="22"/>
        </w:rPr>
        <w:lastRenderedPageBreak/>
        <w:t>The international licensing segment includes 371 licensed stores across over 30 countries, supporting capital-efficient growth and producing high-margin licensing revenues. </w:t>
      </w:r>
    </w:p>
    <w:p w14:paraId="5F8E8C3E" w14:textId="5B8EB991" w:rsidR="00583B89" w:rsidRPr="002D39F1" w:rsidRDefault="002D39F1" w:rsidP="00AF1B45">
      <w:pPr>
        <w:pStyle w:val="Heading2"/>
        <w:numPr>
          <w:ilvl w:val="0"/>
          <w:numId w:val="6"/>
        </w:numPr>
        <w:spacing w:before="0" w:after="0"/>
        <w:jc w:val="both"/>
        <w:rPr>
          <w:rFonts w:ascii="Times New Roman" w:hAnsi="Times New Roman" w:cs="Times New Roman"/>
          <w:b w:val="0"/>
          <w:bCs w:val="0"/>
          <w:color w:val="auto"/>
          <w:sz w:val="22"/>
          <w:szCs w:val="22"/>
        </w:rPr>
      </w:pPr>
      <w:r w:rsidRPr="002D39F1">
        <w:rPr>
          <w:rFonts w:ascii="Times New Roman" w:hAnsi="Times New Roman" w:cs="Times New Roman"/>
          <w:b w:val="0"/>
          <w:bCs w:val="0"/>
          <w:color w:val="auto"/>
          <w:sz w:val="22"/>
          <w:szCs w:val="22"/>
        </w:rPr>
        <w:t xml:space="preserve">In FY2024, digital channels are seeing double-digit growth in online revenue, while physical stores act as fulfillment centers for BOPIS (Buy Online, Pick Up </w:t>
      </w:r>
      <w:proofErr w:type="gramStart"/>
      <w:r w:rsidRPr="002D39F1">
        <w:rPr>
          <w:rFonts w:ascii="Times New Roman" w:hAnsi="Times New Roman" w:cs="Times New Roman"/>
          <w:b w:val="0"/>
          <w:bCs w:val="0"/>
          <w:color w:val="auto"/>
          <w:sz w:val="22"/>
          <w:szCs w:val="22"/>
        </w:rPr>
        <w:t>In</w:t>
      </w:r>
      <w:proofErr w:type="gramEnd"/>
      <w:r w:rsidRPr="002D39F1">
        <w:rPr>
          <w:rFonts w:ascii="Times New Roman" w:hAnsi="Times New Roman" w:cs="Times New Roman"/>
          <w:b w:val="0"/>
          <w:bCs w:val="0"/>
          <w:color w:val="auto"/>
          <w:sz w:val="22"/>
          <w:szCs w:val="22"/>
        </w:rPr>
        <w:t xml:space="preserve"> Store).</w:t>
      </w:r>
    </w:p>
    <w:p w14:paraId="5D95FC66" w14:textId="6F425A49" w:rsidR="00F515A3" w:rsidRPr="006A7B63" w:rsidRDefault="00F515A3" w:rsidP="05FA96B4">
      <w:pPr>
        <w:pStyle w:val="Heading2"/>
        <w:spacing w:before="0"/>
        <w:jc w:val="both"/>
        <w:rPr>
          <w:rFonts w:ascii="Times New Roman" w:hAnsi="Times New Roman" w:cs="Times New Roman"/>
        </w:rPr>
      </w:pPr>
      <w:r w:rsidRPr="006A7B63">
        <w:rPr>
          <w:rFonts w:ascii="Times New Roman" w:hAnsi="Times New Roman" w:cs="Times New Roman"/>
        </w:rPr>
        <w:t>Powering Profitable Growth Plan</w:t>
      </w:r>
    </w:p>
    <w:p w14:paraId="5BA13498" w14:textId="1330400A" w:rsidR="00F515A3" w:rsidRPr="002D39F1" w:rsidRDefault="002D39F1" w:rsidP="05FA96B4">
      <w:pPr>
        <w:spacing w:after="70" w:line="280" w:lineRule="auto"/>
        <w:jc w:val="both"/>
        <w:rPr>
          <w:rFonts w:ascii="Times New Roman" w:hAnsi="Times New Roman" w:cs="Times New Roman"/>
          <w:sz w:val="22"/>
          <w:szCs w:val="22"/>
        </w:rPr>
      </w:pPr>
      <w:r w:rsidRPr="002D39F1">
        <w:rPr>
          <w:rFonts w:ascii="Times New Roman" w:hAnsi="Times New Roman" w:cs="Times New Roman"/>
          <w:color w:val="222222"/>
          <w:sz w:val="22"/>
          <w:szCs w:val="22"/>
        </w:rPr>
        <w:t>Management aims to reach $5.7–$6.0 billion in revenue and a 10% operating margin by fiscal year 2026, ending in February. This goal is supported by four main strategies: investing in the brand with high-profile ambassador partnerships featuring Sydney Sweeney and Travis Kelce; controlling costs and optimizing stores by closing roughly 35 underperforming locations; building a digital-first sales channel; and growing Aerie stores in underserved domestic markets.</w:t>
      </w:r>
    </w:p>
    <w:p w14:paraId="526B9611" w14:textId="77777777" w:rsidR="00F515A3" w:rsidRPr="006A7B63" w:rsidRDefault="00F515A3" w:rsidP="05FA96B4">
      <w:pPr>
        <w:pStyle w:val="Heading2"/>
        <w:spacing w:before="0"/>
        <w:jc w:val="both"/>
        <w:rPr>
          <w:rFonts w:ascii="Times New Roman" w:hAnsi="Times New Roman" w:cs="Times New Roman"/>
        </w:rPr>
      </w:pPr>
      <w:r w:rsidRPr="006A7B63">
        <w:rPr>
          <w:rFonts w:ascii="Times New Roman" w:hAnsi="Times New Roman" w:cs="Times New Roman"/>
        </w:rPr>
        <w:t>Key Risks</w:t>
      </w:r>
    </w:p>
    <w:p w14:paraId="2AA3F2F9" w14:textId="3256879B" w:rsidR="00583B89" w:rsidRPr="00823846" w:rsidRDefault="00583B89" w:rsidP="00AF1B45">
      <w:pPr>
        <w:pStyle w:val="ListParagraph"/>
        <w:numPr>
          <w:ilvl w:val="0"/>
          <w:numId w:val="7"/>
        </w:numPr>
        <w:jc w:val="both"/>
        <w:rPr>
          <w:rFonts w:ascii="Times New Roman" w:hAnsi="Times New Roman" w:cs="Times New Roman"/>
          <w:sz w:val="22"/>
          <w:szCs w:val="22"/>
        </w:rPr>
      </w:pPr>
      <w:r w:rsidRPr="00823846">
        <w:rPr>
          <w:rFonts w:ascii="Times New Roman" w:hAnsi="Times New Roman" w:cs="Times New Roman"/>
          <w:sz w:val="22"/>
          <w:szCs w:val="22"/>
        </w:rPr>
        <w:t xml:space="preserve">Fashion risk: </w:t>
      </w:r>
      <w:r w:rsidR="002946A5" w:rsidRPr="00823846">
        <w:rPr>
          <w:rFonts w:ascii="Times New Roman" w:hAnsi="Times New Roman" w:cs="Times New Roman"/>
          <w:sz w:val="22"/>
          <w:szCs w:val="22"/>
        </w:rPr>
        <w:t>The i</w:t>
      </w:r>
      <w:r w:rsidRPr="00823846">
        <w:rPr>
          <w:rFonts w:ascii="Times New Roman" w:hAnsi="Times New Roman" w:cs="Times New Roman"/>
          <w:sz w:val="22"/>
          <w:szCs w:val="22"/>
        </w:rPr>
        <w:t xml:space="preserve">nventory holding period </w:t>
      </w:r>
      <w:r w:rsidR="002946A5" w:rsidRPr="00823846">
        <w:rPr>
          <w:rFonts w:ascii="Times New Roman" w:hAnsi="Times New Roman" w:cs="Times New Roman"/>
          <w:sz w:val="22"/>
          <w:szCs w:val="22"/>
        </w:rPr>
        <w:t>increased</w:t>
      </w:r>
      <w:r w:rsidRPr="00823846">
        <w:rPr>
          <w:rFonts w:ascii="Times New Roman" w:hAnsi="Times New Roman" w:cs="Times New Roman"/>
          <w:sz w:val="22"/>
          <w:szCs w:val="22"/>
        </w:rPr>
        <w:t xml:space="preserve"> from 58 days in FY2021 to 72 days in FY2024, </w:t>
      </w:r>
      <w:r w:rsidR="002946A5" w:rsidRPr="00823846">
        <w:rPr>
          <w:rFonts w:ascii="Times New Roman" w:hAnsi="Times New Roman" w:cs="Times New Roman"/>
          <w:sz w:val="22"/>
          <w:szCs w:val="22"/>
        </w:rPr>
        <w:t>heighten</w:t>
      </w:r>
      <w:r w:rsidRPr="00823846">
        <w:rPr>
          <w:rFonts w:ascii="Times New Roman" w:hAnsi="Times New Roman" w:cs="Times New Roman"/>
          <w:sz w:val="22"/>
          <w:szCs w:val="22"/>
        </w:rPr>
        <w:t>ing markdown risk.</w:t>
      </w:r>
    </w:p>
    <w:p w14:paraId="6EACFDD1" w14:textId="4A139671" w:rsidR="00583B89" w:rsidRPr="00823846" w:rsidRDefault="00583B89" w:rsidP="00AF1B45">
      <w:pPr>
        <w:pStyle w:val="ListParagraph"/>
        <w:numPr>
          <w:ilvl w:val="0"/>
          <w:numId w:val="7"/>
        </w:numPr>
        <w:jc w:val="both"/>
        <w:rPr>
          <w:rFonts w:ascii="Times New Roman" w:hAnsi="Times New Roman" w:cs="Times New Roman"/>
          <w:sz w:val="22"/>
          <w:szCs w:val="22"/>
        </w:rPr>
      </w:pPr>
      <w:r w:rsidRPr="00823846">
        <w:rPr>
          <w:rFonts w:ascii="Times New Roman" w:hAnsi="Times New Roman" w:cs="Times New Roman"/>
          <w:sz w:val="22"/>
          <w:szCs w:val="22"/>
        </w:rPr>
        <w:t xml:space="preserve">Tariff impact: Estimated $25–$30 million cost </w:t>
      </w:r>
      <w:r w:rsidR="00F04E00" w:rsidRPr="00823846">
        <w:rPr>
          <w:rFonts w:ascii="Times New Roman" w:hAnsi="Times New Roman" w:cs="Times New Roman"/>
          <w:sz w:val="22"/>
          <w:szCs w:val="22"/>
        </w:rPr>
        <w:t>due to</w:t>
      </w:r>
      <w:r w:rsidRPr="00823846">
        <w:rPr>
          <w:rFonts w:ascii="Times New Roman" w:hAnsi="Times New Roman" w:cs="Times New Roman"/>
          <w:sz w:val="22"/>
          <w:szCs w:val="22"/>
        </w:rPr>
        <w:t xml:space="preserve"> U.S. trade policy changes.</w:t>
      </w:r>
    </w:p>
    <w:p w14:paraId="7D922013" w14:textId="4C98E3D2" w:rsidR="00583B89" w:rsidRPr="00823846" w:rsidRDefault="00583B89" w:rsidP="00AF1B45">
      <w:pPr>
        <w:pStyle w:val="ListParagraph"/>
        <w:numPr>
          <w:ilvl w:val="0"/>
          <w:numId w:val="7"/>
        </w:numPr>
        <w:jc w:val="both"/>
        <w:rPr>
          <w:rFonts w:ascii="Times New Roman" w:hAnsi="Times New Roman" w:cs="Times New Roman"/>
          <w:sz w:val="22"/>
          <w:szCs w:val="22"/>
        </w:rPr>
      </w:pPr>
      <w:r w:rsidRPr="00823846">
        <w:rPr>
          <w:rFonts w:ascii="Times New Roman" w:hAnsi="Times New Roman" w:cs="Times New Roman"/>
          <w:sz w:val="22"/>
          <w:szCs w:val="22"/>
        </w:rPr>
        <w:t xml:space="preserve">Consumer sensitivity: </w:t>
      </w:r>
      <w:r w:rsidR="00F04E00" w:rsidRPr="00823846">
        <w:rPr>
          <w:rFonts w:ascii="Times New Roman" w:hAnsi="Times New Roman" w:cs="Times New Roman"/>
          <w:sz w:val="22"/>
          <w:szCs w:val="22"/>
        </w:rPr>
        <w:t>Main</w:t>
      </w:r>
      <w:r w:rsidRPr="00823846">
        <w:rPr>
          <w:rFonts w:ascii="Times New Roman" w:hAnsi="Times New Roman" w:cs="Times New Roman"/>
          <w:sz w:val="22"/>
          <w:szCs w:val="22"/>
        </w:rPr>
        <w:t xml:space="preserve"> Gen Z and millennial customers are </w:t>
      </w:r>
      <w:r w:rsidR="00F04E00" w:rsidRPr="00823846">
        <w:rPr>
          <w:rFonts w:ascii="Times New Roman" w:hAnsi="Times New Roman" w:cs="Times New Roman"/>
          <w:sz w:val="22"/>
          <w:szCs w:val="22"/>
        </w:rPr>
        <w:t>suscepti</w:t>
      </w:r>
      <w:r w:rsidRPr="00823846">
        <w:rPr>
          <w:rFonts w:ascii="Times New Roman" w:hAnsi="Times New Roman" w:cs="Times New Roman"/>
          <w:sz w:val="22"/>
          <w:szCs w:val="22"/>
        </w:rPr>
        <w:t>ble to macroeconomic downturns.</w:t>
      </w:r>
    </w:p>
    <w:p w14:paraId="127C7BA8" w14:textId="52A52A63" w:rsidR="00F515A3" w:rsidRPr="00823846" w:rsidRDefault="00F04E00" w:rsidP="00AF1B45">
      <w:pPr>
        <w:pStyle w:val="ListParagraph"/>
        <w:numPr>
          <w:ilvl w:val="0"/>
          <w:numId w:val="7"/>
        </w:numPr>
        <w:jc w:val="both"/>
        <w:rPr>
          <w:rFonts w:ascii="Times New Roman" w:hAnsi="Times New Roman" w:cs="Times New Roman"/>
          <w:sz w:val="22"/>
          <w:szCs w:val="22"/>
        </w:rPr>
      </w:pPr>
      <w:r w:rsidRPr="00823846">
        <w:rPr>
          <w:rFonts w:ascii="Times New Roman" w:hAnsi="Times New Roman" w:cs="Times New Roman"/>
          <w:sz w:val="22"/>
          <w:szCs w:val="22"/>
        </w:rPr>
        <w:t>The competitive landscape includes Shein, Zara, ASOS, and Abercrombie &amp; Fitch, all vying for the same target demographic.</w:t>
      </w:r>
    </w:p>
    <w:p w14:paraId="55F7C5EE" w14:textId="77777777" w:rsidR="00381400" w:rsidRDefault="00381400" w:rsidP="05FA96B4">
      <w:pPr>
        <w:pStyle w:val="Heading1"/>
        <w:pBdr>
          <w:bottom w:val="single" w:sz="6" w:space="4" w:color="1B3A6B"/>
        </w:pBdr>
        <w:spacing w:before="0"/>
        <w:rPr>
          <w:rFonts w:ascii="Times New Roman" w:hAnsi="Times New Roman" w:cs="Times New Roman"/>
        </w:rPr>
      </w:pPr>
    </w:p>
    <w:p w14:paraId="589EEF81" w14:textId="1636F8E9" w:rsidR="00B35AE4" w:rsidRPr="006A7B63" w:rsidRDefault="00B35AE4" w:rsidP="05FA96B4">
      <w:pPr>
        <w:pStyle w:val="Heading1"/>
        <w:pBdr>
          <w:bottom w:val="single" w:sz="6" w:space="4" w:color="1B3A6B"/>
        </w:pBdr>
        <w:spacing w:before="0"/>
        <w:rPr>
          <w:rFonts w:ascii="Times New Roman" w:hAnsi="Times New Roman" w:cs="Times New Roman"/>
        </w:rPr>
      </w:pPr>
      <w:r w:rsidRPr="006A7B63">
        <w:rPr>
          <w:rFonts w:ascii="Times New Roman" w:hAnsi="Times New Roman" w:cs="Times New Roman"/>
        </w:rPr>
        <w:t>3. Market &amp; Industry Analysis</w:t>
      </w:r>
    </w:p>
    <w:p w14:paraId="6456FE8E" w14:textId="77777777" w:rsidR="00B35AE4" w:rsidRPr="006A7B63" w:rsidRDefault="00B35AE4" w:rsidP="05FA96B4">
      <w:pPr>
        <w:pStyle w:val="Heading2"/>
        <w:spacing w:before="0"/>
        <w:jc w:val="both"/>
        <w:rPr>
          <w:rFonts w:ascii="Times New Roman" w:hAnsi="Times New Roman" w:cs="Times New Roman"/>
        </w:rPr>
      </w:pPr>
      <w:r w:rsidRPr="006A7B63">
        <w:rPr>
          <w:rFonts w:ascii="Times New Roman" w:hAnsi="Times New Roman" w:cs="Times New Roman"/>
        </w:rPr>
        <w:t>Industry Overview</w:t>
      </w:r>
    </w:p>
    <w:p w14:paraId="470658D2" w14:textId="77777777" w:rsidR="00F04E00" w:rsidRPr="00823846" w:rsidRDefault="00F04E00" w:rsidP="05FA96B4">
      <w:pPr>
        <w:spacing w:after="70" w:line="280" w:lineRule="auto"/>
        <w:jc w:val="both"/>
        <w:rPr>
          <w:rFonts w:ascii="Times New Roman" w:hAnsi="Times New Roman" w:cs="Times New Roman"/>
          <w:color w:val="222222"/>
          <w:sz w:val="22"/>
          <w:szCs w:val="22"/>
        </w:rPr>
      </w:pPr>
      <w:r w:rsidRPr="00823846">
        <w:rPr>
          <w:rFonts w:ascii="Times New Roman" w:hAnsi="Times New Roman" w:cs="Times New Roman"/>
          <w:color w:val="222222"/>
          <w:sz w:val="22"/>
          <w:szCs w:val="22"/>
        </w:rPr>
        <w:t>The U.S. retail apparel industry surpasses $350 billion each year. AEO operates in the specialty retail sector, situated between fast fashion brands like H&amp;M and Zara, and premium labels such as Ralph Lauren and Coach. This mid-market segment demands continuous balancing of trendy appeal, quality, and affordability. The industry is being reshaped mainly by two major trends: the shift to digital channels and the rise of athleisure, both of which favor AEO’s brands.</w:t>
      </w:r>
    </w:p>
    <w:p w14:paraId="120BBBAD" w14:textId="0B9750E0" w:rsidR="00B35AE4" w:rsidRPr="006A7B63" w:rsidRDefault="00B35AE4" w:rsidP="05FA96B4">
      <w:pPr>
        <w:spacing w:after="70" w:line="280" w:lineRule="auto"/>
        <w:jc w:val="both"/>
        <w:rPr>
          <w:rFonts w:ascii="Times New Roman" w:hAnsi="Times New Roman" w:cs="Times New Roman"/>
        </w:rPr>
      </w:pPr>
      <w:r w:rsidRPr="006A7B63">
        <w:rPr>
          <w:rFonts w:ascii="Times New Roman" w:hAnsi="Times New Roman" w:cs="Times New Roman"/>
          <w:b/>
          <w:bCs/>
          <w:color w:val="2C5F8A"/>
          <w:sz w:val="24"/>
          <w:szCs w:val="24"/>
        </w:rPr>
        <w:t>Competitive Landscape</w:t>
      </w:r>
    </w:p>
    <w:p w14:paraId="0E5703D7" w14:textId="1794A2D1" w:rsidR="00F04E00" w:rsidRPr="00823846" w:rsidRDefault="00F04E00" w:rsidP="05FA96B4">
      <w:pPr>
        <w:pStyle w:val="Heading2"/>
        <w:spacing w:before="0"/>
        <w:rPr>
          <w:rFonts w:ascii="Times New Roman" w:hAnsi="Times New Roman" w:cs="Times New Roman"/>
          <w:sz w:val="28"/>
          <w:szCs w:val="28"/>
        </w:rPr>
      </w:pPr>
      <w:r w:rsidRPr="00823846">
        <w:rPr>
          <w:rFonts w:ascii="Times New Roman" w:hAnsi="Times New Roman" w:cs="Times New Roman"/>
          <w:b w:val="0"/>
          <w:bCs w:val="0"/>
          <w:color w:val="222222"/>
          <w:sz w:val="22"/>
          <w:szCs w:val="22"/>
        </w:rPr>
        <w:t>AEO’s main competitors include Abercrombie &amp; Fitch (ANF), Urban Outfitters (URBN), Gap, H&amp;M, and Zara, as well as online challengers Shein and ASOS. American Eagle remains a top denim brand in the U.S., directly competing with Levi’s and Wrangler in that category. Its pricing—$50–$80 for jeans and $20–$60 for tops—targets an accessible-premium segment favored by its Gen Z audience.</w:t>
      </w:r>
    </w:p>
    <w:p w14:paraId="6A2976F5" w14:textId="77777777" w:rsidR="00F04E00" w:rsidRDefault="00F04E00" w:rsidP="05FA96B4">
      <w:pPr>
        <w:pStyle w:val="Heading2"/>
        <w:spacing w:before="0"/>
        <w:rPr>
          <w:rFonts w:ascii="Times New Roman" w:hAnsi="Times New Roman" w:cs="Times New Roman"/>
        </w:rPr>
      </w:pPr>
    </w:p>
    <w:p w14:paraId="1DC3ABE9" w14:textId="3FA7EE72" w:rsidR="00B35AE4" w:rsidRPr="006A7B63" w:rsidRDefault="00B35AE4" w:rsidP="05FA96B4">
      <w:pPr>
        <w:pStyle w:val="Heading2"/>
        <w:spacing w:before="0"/>
        <w:rPr>
          <w:rFonts w:ascii="Times New Roman" w:hAnsi="Times New Roman" w:cs="Times New Roman"/>
        </w:rPr>
      </w:pPr>
      <w:r w:rsidRPr="006A7B63">
        <w:rPr>
          <w:rFonts w:ascii="Times New Roman" w:hAnsi="Times New Roman" w:cs="Times New Roman"/>
        </w:rPr>
        <w:t>Porter’s Five Forces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B35AE4" w:rsidRPr="006A7B63" w14:paraId="399B63FE" w14:textId="77777777" w:rsidTr="009D3D48">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76A6CE6D" w14:textId="77777777" w:rsidR="00B35AE4" w:rsidRPr="006A7B63" w:rsidRDefault="00B35AE4"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Force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784A220E" w14:textId="77777777" w:rsidR="00B35AE4" w:rsidRPr="006A7B63" w:rsidRDefault="00B35AE4"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Level</w:t>
            </w:r>
          </w:p>
        </w:tc>
        <w:tc>
          <w:tcPr>
            <w:tcW w:w="56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4F097A08" w14:textId="77777777" w:rsidR="00B35AE4" w:rsidRPr="006A7B63" w:rsidRDefault="00B35AE4"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Implication for AEO</w:t>
            </w:r>
          </w:p>
        </w:tc>
      </w:tr>
      <w:tr w:rsidR="00B35AE4" w:rsidRPr="006A7B63" w14:paraId="1AA66577" w14:textId="77777777" w:rsidTr="009D3D48">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957CE02"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b/>
                <w:bCs/>
                <w:color w:val="222222"/>
                <w:sz w:val="20"/>
                <w:szCs w:val="20"/>
              </w:rPr>
              <w:t>Threat of New Entrants</w:t>
            </w:r>
          </w:p>
        </w:tc>
        <w:tc>
          <w:tcPr>
            <w:tcW w:w="15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886E82F" w14:textId="77777777" w:rsidR="00B35AE4" w:rsidRPr="00FE2C8B" w:rsidRDefault="00B35AE4" w:rsidP="009D3D48">
            <w:pPr>
              <w:jc w:val="center"/>
              <w:rPr>
                <w:rFonts w:ascii="Times New Roman" w:hAnsi="Times New Roman" w:cs="Times New Roman"/>
                <w:sz w:val="20"/>
                <w:szCs w:val="20"/>
              </w:rPr>
            </w:pPr>
            <w:r w:rsidRPr="00FE2C8B">
              <w:rPr>
                <w:rFonts w:ascii="Times New Roman" w:hAnsi="Times New Roman" w:cs="Times New Roman"/>
                <w:color w:val="222222"/>
                <w:sz w:val="20"/>
                <w:szCs w:val="20"/>
              </w:rPr>
              <w:t>Moderate</w:t>
            </w:r>
          </w:p>
        </w:tc>
        <w:tc>
          <w:tcPr>
            <w:tcW w:w="566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A863B86"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color w:val="222222"/>
                <w:sz w:val="20"/>
                <w:szCs w:val="20"/>
              </w:rPr>
              <w:t>Brand equity and supply chain scale take years to build — limits new competition</w:t>
            </w:r>
          </w:p>
        </w:tc>
      </w:tr>
      <w:tr w:rsidR="00B35AE4" w:rsidRPr="006A7B63" w14:paraId="7B833843" w14:textId="77777777" w:rsidTr="05FA96B4">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C8F3B47"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b/>
                <w:bCs/>
                <w:color w:val="222222"/>
                <w:sz w:val="20"/>
                <w:szCs w:val="20"/>
              </w:rPr>
              <w:t>Supplier Power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DE203B6" w14:textId="77777777" w:rsidR="00B35AE4" w:rsidRPr="00FE2C8B" w:rsidRDefault="00B35AE4" w:rsidP="009D3D48">
            <w:pPr>
              <w:jc w:val="center"/>
              <w:rPr>
                <w:rFonts w:ascii="Times New Roman" w:hAnsi="Times New Roman" w:cs="Times New Roman"/>
                <w:sz w:val="20"/>
                <w:szCs w:val="20"/>
              </w:rPr>
            </w:pPr>
            <w:r w:rsidRPr="00FE2C8B">
              <w:rPr>
                <w:rFonts w:ascii="Times New Roman" w:hAnsi="Times New Roman" w:cs="Times New Roman"/>
                <w:color w:val="222222"/>
                <w:sz w:val="20"/>
                <w:szCs w:val="20"/>
              </w:rPr>
              <w:t>Low–Moderate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2B52CC5"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color w:val="222222"/>
                <w:sz w:val="20"/>
                <w:szCs w:val="20"/>
              </w:rPr>
              <w:t>Diversified global supplier base; cotton price fluctuations remain the primary exposure</w:t>
            </w:r>
          </w:p>
        </w:tc>
      </w:tr>
      <w:tr w:rsidR="00B35AE4" w:rsidRPr="006A7B63" w14:paraId="4B2212ED" w14:textId="77777777" w:rsidTr="009D3D48">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412531B"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b/>
                <w:bCs/>
                <w:color w:val="222222"/>
                <w:sz w:val="20"/>
                <w:szCs w:val="20"/>
              </w:rPr>
              <w:t>Buyer Power</w:t>
            </w:r>
          </w:p>
        </w:tc>
        <w:tc>
          <w:tcPr>
            <w:tcW w:w="15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E0B31CF" w14:textId="77777777" w:rsidR="00B35AE4" w:rsidRPr="00FE2C8B" w:rsidRDefault="00B35AE4" w:rsidP="009D3D48">
            <w:pPr>
              <w:jc w:val="center"/>
              <w:rPr>
                <w:rFonts w:ascii="Times New Roman" w:hAnsi="Times New Roman" w:cs="Times New Roman"/>
                <w:sz w:val="20"/>
                <w:szCs w:val="20"/>
              </w:rPr>
            </w:pPr>
            <w:r w:rsidRPr="00FE2C8B">
              <w:rPr>
                <w:rFonts w:ascii="Times New Roman" w:hAnsi="Times New Roman" w:cs="Times New Roman"/>
                <w:color w:val="222222"/>
                <w:sz w:val="20"/>
                <w:szCs w:val="20"/>
              </w:rPr>
              <w:t>High</w:t>
            </w:r>
          </w:p>
        </w:tc>
        <w:tc>
          <w:tcPr>
            <w:tcW w:w="566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E82CDE9"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color w:val="222222"/>
                <w:sz w:val="20"/>
                <w:szCs w:val="20"/>
              </w:rPr>
              <w:t>Many alternatives and zero switching cost; brand loyalty and Aerie’s community are AEO’s defense</w:t>
            </w:r>
          </w:p>
        </w:tc>
      </w:tr>
      <w:tr w:rsidR="00B35AE4" w:rsidRPr="006A7B63" w14:paraId="16AA6B37" w14:textId="77777777" w:rsidTr="05FA96B4">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53CD92C"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b/>
                <w:bCs/>
                <w:color w:val="222222"/>
                <w:sz w:val="20"/>
                <w:szCs w:val="20"/>
              </w:rPr>
              <w:t>Threat of Substitutes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A646D56" w14:textId="77777777" w:rsidR="00B35AE4" w:rsidRPr="00FE2C8B" w:rsidRDefault="00B35AE4" w:rsidP="009D3D48">
            <w:pPr>
              <w:jc w:val="center"/>
              <w:rPr>
                <w:rFonts w:ascii="Times New Roman" w:hAnsi="Times New Roman" w:cs="Times New Roman"/>
                <w:sz w:val="20"/>
                <w:szCs w:val="20"/>
              </w:rPr>
            </w:pPr>
            <w:r w:rsidRPr="00FE2C8B">
              <w:rPr>
                <w:rFonts w:ascii="Times New Roman" w:hAnsi="Times New Roman" w:cs="Times New Roman"/>
                <w:color w:val="222222"/>
                <w:sz w:val="20"/>
                <w:szCs w:val="20"/>
              </w:rPr>
              <w:t>Moderate–High</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9C35BED"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color w:val="222222"/>
                <w:sz w:val="20"/>
                <w:szCs w:val="20"/>
              </w:rPr>
              <w:t>Athleisure, secondhand clothing, and luxury resale all compete for the same wallet share</w:t>
            </w:r>
          </w:p>
        </w:tc>
      </w:tr>
      <w:tr w:rsidR="00B35AE4" w:rsidRPr="006A7B63" w14:paraId="30D87527" w14:textId="77777777" w:rsidTr="009D3D48">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2DFE7D6"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b/>
                <w:bCs/>
                <w:color w:val="222222"/>
                <w:sz w:val="20"/>
                <w:szCs w:val="20"/>
              </w:rPr>
              <w:t>Industry Rivalry</w:t>
            </w:r>
          </w:p>
        </w:tc>
        <w:tc>
          <w:tcPr>
            <w:tcW w:w="15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2CDC1D5" w14:textId="77777777" w:rsidR="00B35AE4" w:rsidRPr="00FE2C8B" w:rsidRDefault="00B35AE4" w:rsidP="009D3D48">
            <w:pPr>
              <w:jc w:val="center"/>
              <w:rPr>
                <w:rFonts w:ascii="Times New Roman" w:hAnsi="Times New Roman" w:cs="Times New Roman"/>
                <w:sz w:val="20"/>
                <w:szCs w:val="20"/>
              </w:rPr>
            </w:pPr>
            <w:r w:rsidRPr="00FE2C8B">
              <w:rPr>
                <w:rFonts w:ascii="Times New Roman" w:hAnsi="Times New Roman" w:cs="Times New Roman"/>
                <w:color w:val="222222"/>
                <w:sz w:val="20"/>
                <w:szCs w:val="20"/>
              </w:rPr>
              <w:t>High</w:t>
            </w:r>
          </w:p>
        </w:tc>
        <w:tc>
          <w:tcPr>
            <w:tcW w:w="566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A91A7A0" w14:textId="77777777" w:rsidR="00B35AE4" w:rsidRPr="00FE2C8B" w:rsidRDefault="00B35AE4" w:rsidP="009D3D48">
            <w:pPr>
              <w:rPr>
                <w:rFonts w:ascii="Times New Roman" w:hAnsi="Times New Roman" w:cs="Times New Roman"/>
                <w:sz w:val="20"/>
                <w:szCs w:val="20"/>
              </w:rPr>
            </w:pPr>
            <w:r w:rsidRPr="00FE2C8B">
              <w:rPr>
                <w:rFonts w:ascii="Times New Roman" w:hAnsi="Times New Roman" w:cs="Times New Roman"/>
                <w:color w:val="222222"/>
                <w:sz w:val="20"/>
                <w:szCs w:val="20"/>
              </w:rPr>
              <w:t>ANF, Gap, H&amp;M, Zara, Shein, and ASOS all target the same 15–25 demographic</w:t>
            </w:r>
          </w:p>
        </w:tc>
      </w:tr>
    </w:tbl>
    <w:p w14:paraId="3591A05F" w14:textId="77777777" w:rsidR="00B35AE4" w:rsidRPr="006A7B63" w:rsidRDefault="00B35AE4" w:rsidP="05FA96B4">
      <w:pPr>
        <w:pStyle w:val="Heading2"/>
        <w:spacing w:before="0"/>
        <w:jc w:val="both"/>
        <w:rPr>
          <w:rFonts w:ascii="Times New Roman" w:hAnsi="Times New Roman" w:cs="Times New Roman"/>
        </w:rPr>
      </w:pPr>
      <w:r w:rsidRPr="006A7B63">
        <w:rPr>
          <w:rFonts w:ascii="Times New Roman" w:hAnsi="Times New Roman" w:cs="Times New Roman"/>
          <w:color w:val="1B3A6B"/>
        </w:rPr>
        <w:t xml:space="preserve">Market Trends </w:t>
      </w:r>
    </w:p>
    <w:p w14:paraId="404CBBB9" w14:textId="77777777" w:rsidR="009275E3" w:rsidRPr="00D215CE" w:rsidRDefault="009275E3" w:rsidP="05FA96B4">
      <w:pPr>
        <w:spacing w:after="60" w:line="280" w:lineRule="auto"/>
        <w:jc w:val="both"/>
        <w:rPr>
          <w:rFonts w:ascii="Times New Roman" w:hAnsi="Times New Roman" w:cs="Times New Roman"/>
          <w:color w:val="222222"/>
          <w:sz w:val="22"/>
          <w:szCs w:val="22"/>
        </w:rPr>
      </w:pPr>
      <w:r w:rsidRPr="00D215CE">
        <w:rPr>
          <w:rFonts w:ascii="Times New Roman" w:hAnsi="Times New Roman" w:cs="Times New Roman"/>
          <w:color w:val="222222"/>
          <w:sz w:val="22"/>
          <w:szCs w:val="22"/>
        </w:rPr>
        <w:t xml:space="preserve">Three primary market trends are directly supporting AEO’s revenue growth and validating the approximately 3% annual sales forecast in the </w:t>
      </w:r>
      <w:proofErr w:type="spellStart"/>
      <w:r w:rsidRPr="00D215CE">
        <w:rPr>
          <w:rFonts w:ascii="Times New Roman" w:hAnsi="Times New Roman" w:cs="Times New Roman"/>
          <w:color w:val="222222"/>
          <w:sz w:val="22"/>
          <w:szCs w:val="22"/>
        </w:rPr>
        <w:t>eVal</w:t>
      </w:r>
      <w:proofErr w:type="spellEnd"/>
      <w:r w:rsidRPr="00D215CE">
        <w:rPr>
          <w:rFonts w:ascii="Times New Roman" w:hAnsi="Times New Roman" w:cs="Times New Roman"/>
          <w:color w:val="222222"/>
          <w:sz w:val="22"/>
          <w:szCs w:val="22"/>
        </w:rPr>
        <w:t xml:space="preserve"> model. These are not fleeting boosts; they represent enduring, multi-year shifts in consumer behavior and channel dynamics that favor both of AEO’s key brands.</w:t>
      </w:r>
    </w:p>
    <w:p w14:paraId="6ABD5719" w14:textId="76CA0C74" w:rsidR="00B35AE4" w:rsidRPr="006A7B63" w:rsidRDefault="00B35AE4" w:rsidP="05FA96B4">
      <w:pPr>
        <w:spacing w:after="60" w:line="280" w:lineRule="auto"/>
        <w:jc w:val="both"/>
        <w:rPr>
          <w:rFonts w:ascii="Times New Roman" w:hAnsi="Times New Roman" w:cs="Times New Roman"/>
        </w:rPr>
      </w:pPr>
      <w:r w:rsidRPr="006A7B63">
        <w:rPr>
          <w:rFonts w:ascii="Times New Roman" w:hAnsi="Times New Roman" w:cs="Times New Roman"/>
          <w:b/>
          <w:bCs/>
          <w:color w:val="1B3A6B"/>
        </w:rPr>
        <w:lastRenderedPageBreak/>
        <w:t>1. Apparel E-Commerce Penetration Is Accelerating</w:t>
      </w:r>
    </w:p>
    <w:p w14:paraId="7CC3569C" w14:textId="667589BD" w:rsidR="00B35AE4" w:rsidRPr="00D215CE" w:rsidRDefault="009275E3" w:rsidP="05FA96B4">
      <w:pPr>
        <w:spacing w:after="70" w:line="280" w:lineRule="auto"/>
        <w:jc w:val="both"/>
        <w:rPr>
          <w:rFonts w:ascii="Times New Roman" w:hAnsi="Times New Roman" w:cs="Times New Roman"/>
          <w:sz w:val="22"/>
          <w:szCs w:val="22"/>
        </w:rPr>
      </w:pPr>
      <w:r w:rsidRPr="00D215CE">
        <w:rPr>
          <w:rFonts w:ascii="Times New Roman" w:hAnsi="Times New Roman" w:cs="Times New Roman"/>
          <w:color w:val="222222"/>
          <w:sz w:val="22"/>
          <w:szCs w:val="22"/>
        </w:rPr>
        <w:t>U.S. apparel e-commerce rose from about 27% of total apparel retail sales in 2019 to over 43% in 2024, with estimates suggesting it will reach nearly 47% by 2026 (Digital Commerce 360, 2024). This significant change in sales channels benefits AEO, which experienced double-digit growth in digital revenue for FY2024 and has made strategic investments in its digital infrastructure and BOPIS (buy-online-pickup-in-store) services. Instead of just being cost centers, physical stores now act as fulfillment centers, improving overall unit economics. As online sales continue to expand, AEO’s early investments position it well to capture a larger share of online apparel spending compared to competitors that are slower to adapt.</w:t>
      </w:r>
    </w:p>
    <w:p w14:paraId="6CDE9A87" w14:textId="77777777" w:rsidR="00B35AE4" w:rsidRPr="006A7B63" w:rsidRDefault="00B35AE4" w:rsidP="05FA96B4">
      <w:pPr>
        <w:spacing w:after="60" w:line="280" w:lineRule="auto"/>
        <w:jc w:val="both"/>
        <w:rPr>
          <w:rFonts w:ascii="Times New Roman" w:hAnsi="Times New Roman" w:cs="Times New Roman"/>
        </w:rPr>
      </w:pPr>
      <w:r w:rsidRPr="006A7B63">
        <w:rPr>
          <w:rFonts w:ascii="Times New Roman" w:hAnsi="Times New Roman" w:cs="Times New Roman"/>
          <w:b/>
          <w:bCs/>
          <w:color w:val="1B3A6B"/>
        </w:rPr>
        <w:t>2. Global Athleisure Market Expansion Directly Benefits Aerie</w:t>
      </w:r>
    </w:p>
    <w:p w14:paraId="32DB10A0" w14:textId="59563143" w:rsidR="00B35AE4" w:rsidRPr="00D215CE" w:rsidRDefault="00D215CE" w:rsidP="05FA96B4">
      <w:pPr>
        <w:spacing w:after="70" w:line="280" w:lineRule="auto"/>
        <w:jc w:val="both"/>
        <w:rPr>
          <w:rFonts w:ascii="Times New Roman" w:hAnsi="Times New Roman" w:cs="Times New Roman"/>
          <w:sz w:val="22"/>
          <w:szCs w:val="22"/>
        </w:rPr>
      </w:pPr>
      <w:r w:rsidRPr="00D215CE">
        <w:rPr>
          <w:rFonts w:ascii="Times New Roman" w:hAnsi="Times New Roman" w:cs="Times New Roman"/>
          <w:color w:val="222222"/>
          <w:sz w:val="22"/>
          <w:szCs w:val="22"/>
        </w:rPr>
        <w:t xml:space="preserve">The global athleisure market was valued at approximately $306 billion in 2021 and is projected to grow to $492 billion by 2027, reflecting a 61% increase over </w:t>
      </w:r>
      <w:r>
        <w:rPr>
          <w:rFonts w:ascii="Times New Roman" w:hAnsi="Times New Roman" w:cs="Times New Roman"/>
          <w:color w:val="222222"/>
          <w:sz w:val="22"/>
          <w:szCs w:val="22"/>
        </w:rPr>
        <w:t>6</w:t>
      </w:r>
      <w:r w:rsidRPr="00D215CE">
        <w:rPr>
          <w:rFonts w:ascii="Times New Roman" w:hAnsi="Times New Roman" w:cs="Times New Roman"/>
          <w:color w:val="222222"/>
          <w:sz w:val="22"/>
          <w:szCs w:val="22"/>
        </w:rPr>
        <w:t xml:space="preserve"> years (Mordor Intelligence/Statista, 2024). This sector — which encompasses activewear, loungewear, and performance-casual clothing — aligns with Aerie’s OFFLINE activewear sub-brand, targeting women aged 15–35 with body-positive messaging and expanding product lines. </w:t>
      </w:r>
      <w:r w:rsidR="00ED2124">
        <w:rPr>
          <w:rFonts w:ascii="Times New Roman" w:hAnsi="Times New Roman" w:cs="Times New Roman"/>
          <w:color w:val="222222"/>
          <w:sz w:val="22"/>
          <w:szCs w:val="22"/>
        </w:rPr>
        <w:t>Higher margin</w:t>
      </w:r>
      <w:r w:rsidRPr="00D215CE">
        <w:rPr>
          <w:rFonts w:ascii="Times New Roman" w:hAnsi="Times New Roman" w:cs="Times New Roman"/>
          <w:color w:val="222222"/>
          <w:sz w:val="22"/>
          <w:szCs w:val="22"/>
        </w:rPr>
        <w:t xml:space="preserve"> activewear is expected to boost Aerie’s revenue share within AEO </w:t>
      </w:r>
      <w:r>
        <w:rPr>
          <w:rFonts w:ascii="Times New Roman" w:hAnsi="Times New Roman" w:cs="Times New Roman"/>
          <w:color w:val="222222"/>
          <w:sz w:val="22"/>
          <w:szCs w:val="22"/>
        </w:rPr>
        <w:t>through</w:t>
      </w:r>
      <w:r w:rsidRPr="00D215CE">
        <w:rPr>
          <w:rFonts w:ascii="Times New Roman" w:hAnsi="Times New Roman" w:cs="Times New Roman"/>
          <w:color w:val="222222"/>
          <w:sz w:val="22"/>
          <w:szCs w:val="22"/>
        </w:rPr>
        <w:t xml:space="preserve"> FY2031, contributing to forecasted gross margin growth (from 39.2% in FY2024 to 45.0% by FY2031). Therefore, the athleisure trend is not only a revenue driver but also a significant factor in enhancing profitability.</w:t>
      </w:r>
    </w:p>
    <w:p w14:paraId="19198D0A" w14:textId="77777777" w:rsidR="00B35AE4" w:rsidRPr="006A7B63" w:rsidRDefault="00B35AE4" w:rsidP="05FA96B4">
      <w:pPr>
        <w:spacing w:after="60" w:line="280" w:lineRule="auto"/>
        <w:jc w:val="both"/>
        <w:rPr>
          <w:rFonts w:ascii="Times New Roman" w:hAnsi="Times New Roman" w:cs="Times New Roman"/>
        </w:rPr>
      </w:pPr>
      <w:r w:rsidRPr="006A7B63">
        <w:rPr>
          <w:rFonts w:ascii="Times New Roman" w:hAnsi="Times New Roman" w:cs="Times New Roman"/>
          <w:b/>
          <w:bCs/>
          <w:color w:val="1B3A6B"/>
        </w:rPr>
        <w:t>3. U.S. Specialty Retail Growth Validates the Revenue Forecast</w:t>
      </w:r>
    </w:p>
    <w:p w14:paraId="044473FB" w14:textId="3071DB70" w:rsidR="00B35AE4" w:rsidRPr="00D215CE" w:rsidRDefault="00D215CE" w:rsidP="05FA96B4">
      <w:pPr>
        <w:spacing w:after="70" w:line="280" w:lineRule="auto"/>
        <w:jc w:val="both"/>
        <w:rPr>
          <w:rFonts w:ascii="Times New Roman" w:hAnsi="Times New Roman" w:cs="Times New Roman"/>
          <w:sz w:val="22"/>
          <w:szCs w:val="22"/>
        </w:rPr>
      </w:pPr>
      <w:r w:rsidRPr="00D215CE">
        <w:rPr>
          <w:rFonts w:ascii="Times New Roman" w:hAnsi="Times New Roman" w:cs="Times New Roman"/>
          <w:color w:val="222222"/>
          <w:sz w:val="22"/>
          <w:szCs w:val="22"/>
        </w:rPr>
        <w:t xml:space="preserve">The U.S. specialty apparel retail market generates over $350 billion annually and is expanding at approximately 3% each year. This industry growth rate aligns with the growth assumed in AEO’s </w:t>
      </w:r>
      <w:proofErr w:type="spellStart"/>
      <w:r w:rsidRPr="00D215CE">
        <w:rPr>
          <w:rFonts w:ascii="Times New Roman" w:hAnsi="Times New Roman" w:cs="Times New Roman"/>
          <w:color w:val="222222"/>
          <w:sz w:val="22"/>
          <w:szCs w:val="22"/>
        </w:rPr>
        <w:t>eVal</w:t>
      </w:r>
      <w:proofErr w:type="spellEnd"/>
      <w:r w:rsidRPr="00D215CE">
        <w:rPr>
          <w:rFonts w:ascii="Times New Roman" w:hAnsi="Times New Roman" w:cs="Times New Roman"/>
          <w:color w:val="222222"/>
          <w:sz w:val="22"/>
          <w:szCs w:val="22"/>
        </w:rPr>
        <w:t xml:space="preserve"> revenue forecast, which ranges from 2.75% to 3.30% annually from FY2025 to FY2031, indicating that the model’s assumptions are conservative rather than optimistic. AEO does not need to outpace the industry to meet its projected revenue targets—simply growing in proportion to the overall market is sufficient. With AEO’s strong brand reputation, dual-brand approach, and ongoing expansion of Aerie into underserved U.S. markets, there is a realistic possibility of gaining modest market share beyond this baseline, offering additional upside potential to the core forecast.</w:t>
      </w:r>
    </w:p>
    <w:p w14:paraId="462E78E0" w14:textId="12FB95FA" w:rsidR="0059119F" w:rsidRPr="006A7B63" w:rsidRDefault="00B35AE4" w:rsidP="05FA96B4">
      <w:pPr>
        <w:spacing w:after="70" w:line="280" w:lineRule="auto"/>
        <w:rPr>
          <w:rFonts w:ascii="Times New Roman" w:hAnsi="Times New Roman" w:cs="Times New Roman"/>
        </w:rPr>
      </w:pPr>
      <w:r w:rsidRPr="006A7B63">
        <w:rPr>
          <w:rFonts w:ascii="Times New Roman" w:hAnsi="Times New Roman" w:cs="Times New Roman"/>
          <w:i/>
          <w:iCs/>
          <w:color w:val="444444"/>
          <w:sz w:val="19"/>
          <w:szCs w:val="19"/>
        </w:rPr>
        <w:t>Collectively, these three trends — digital channel acceleration, athleisure market expansion, and stable specialty retail growth — create a favorable macroeconomic backdrop for AEO’s investment thesis and reinforce the reliability of the revenue and margin assumptions underlying both the DCF valuation and the multi-method relative analysis.</w:t>
      </w:r>
    </w:p>
    <w:p w14:paraId="18AAF155" w14:textId="77777777" w:rsidR="00381400" w:rsidRDefault="00381400" w:rsidP="05FA96B4">
      <w:pPr>
        <w:pStyle w:val="Heading1"/>
        <w:pBdr>
          <w:bottom w:val="single" w:sz="6" w:space="4" w:color="1B3A6B"/>
        </w:pBdr>
        <w:spacing w:before="0"/>
        <w:rPr>
          <w:rFonts w:ascii="Times New Roman" w:hAnsi="Times New Roman" w:cs="Times New Roman"/>
        </w:rPr>
      </w:pPr>
    </w:p>
    <w:p w14:paraId="7FE00D1A" w14:textId="1D712526" w:rsidR="0059119F" w:rsidRPr="006A7B63" w:rsidRDefault="00783E68" w:rsidP="05FA96B4">
      <w:pPr>
        <w:pStyle w:val="Heading1"/>
        <w:pBdr>
          <w:bottom w:val="single" w:sz="6" w:space="4" w:color="1B3A6B"/>
        </w:pBdr>
        <w:spacing w:before="0"/>
        <w:rPr>
          <w:rFonts w:ascii="Times New Roman" w:hAnsi="Times New Roman" w:cs="Times New Roman"/>
        </w:rPr>
      </w:pPr>
      <w:r w:rsidRPr="006A7B63">
        <w:rPr>
          <w:rFonts w:ascii="Times New Roman" w:hAnsi="Times New Roman" w:cs="Times New Roman"/>
        </w:rPr>
        <w:t>4. Financial Statement Analysis</w:t>
      </w:r>
    </w:p>
    <w:p w14:paraId="1C367188" w14:textId="0DBF2F66" w:rsidR="12C41C07" w:rsidRPr="00183A51" w:rsidRDefault="12C41C07" w:rsidP="4EF5F96B">
      <w:pPr>
        <w:spacing w:line="276" w:lineRule="auto"/>
        <w:jc w:val="both"/>
        <w:rPr>
          <w:rFonts w:ascii="Times New Roman" w:eastAsia="Times New Roman" w:hAnsi="Times New Roman" w:cs="Times New Roman"/>
          <w:color w:val="000000" w:themeColor="text1"/>
          <w:sz w:val="24"/>
          <w:szCs w:val="24"/>
        </w:rPr>
      </w:pPr>
      <w:r w:rsidRPr="00183A51">
        <w:rPr>
          <w:rFonts w:ascii="Times New Roman" w:eastAsia="Times New Roman" w:hAnsi="Times New Roman" w:cs="Times New Roman"/>
          <w:b/>
          <w:bCs/>
          <w:color w:val="000000" w:themeColor="text1"/>
          <w:sz w:val="24"/>
          <w:szCs w:val="24"/>
        </w:rPr>
        <w:t>Revenue and Profitability Analysis</w:t>
      </w:r>
    </w:p>
    <w:p w14:paraId="3FC61342" w14:textId="3502EA20" w:rsidR="00183A51" w:rsidRPr="00491D13" w:rsidRDefault="12C41C07" w:rsidP="05FA96B4">
      <w:pPr>
        <w:spacing w:after="120"/>
        <w:ind w:firstLine="720"/>
        <w:jc w:val="both"/>
        <w:rPr>
          <w:rFonts w:ascii="Times New Roman" w:eastAsia="Times New Roman" w:hAnsi="Times New Roman" w:cs="Times New Roman"/>
          <w:color w:val="0B163E"/>
          <w:sz w:val="28"/>
          <w:szCs w:val="28"/>
        </w:rPr>
      </w:pPr>
      <w:r w:rsidRPr="00491D13">
        <w:rPr>
          <w:rFonts w:ascii="Times New Roman" w:hAnsi="Times New Roman" w:cs="Times New Roman"/>
          <w:noProof/>
          <w:sz w:val="22"/>
          <w:szCs w:val="22"/>
        </w:rPr>
        <w:drawing>
          <wp:anchor distT="0" distB="0" distL="114300" distR="114300" simplePos="0" relativeHeight="251658240" behindDoc="0" locked="0" layoutInCell="1" allowOverlap="1" wp14:anchorId="66643A44" wp14:editId="4821261F">
            <wp:simplePos x="0" y="0"/>
            <wp:positionH relativeFrom="column">
              <wp:align>right</wp:align>
            </wp:positionH>
            <wp:positionV relativeFrom="paragraph">
              <wp:posOffset>0</wp:posOffset>
            </wp:positionV>
            <wp:extent cx="3171825" cy="1562100"/>
            <wp:effectExtent l="0" t="0" r="0" b="0"/>
            <wp:wrapSquare wrapText="bothSides"/>
            <wp:docPr id="3234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191" name="Picture 32342191"/>
                    <pic:cNvPicPr/>
                  </pic:nvPicPr>
                  <pic:blipFill>
                    <a:blip r:embed="rId8">
                      <a:extLst>
                        <a:ext uri="{28A0092B-C50C-407E-A947-70E740481C1C}">
                          <a14:useLocalDpi xmlns:a14="http://schemas.microsoft.com/office/drawing/2010/main"/>
                        </a:ext>
                      </a:extLst>
                    </a:blip>
                    <a:stretch>
                      <a:fillRect/>
                    </a:stretch>
                  </pic:blipFill>
                  <pic:spPr>
                    <a:xfrm>
                      <a:off x="0" y="0"/>
                      <a:ext cx="3171825" cy="1562100"/>
                    </a:xfrm>
                    <a:prstGeom prst="rect">
                      <a:avLst/>
                    </a:prstGeom>
                  </pic:spPr>
                </pic:pic>
              </a:graphicData>
            </a:graphic>
            <wp14:sizeRelH relativeFrom="page">
              <wp14:pctWidth>0</wp14:pctWidth>
            </wp14:sizeRelH>
            <wp14:sizeRelV relativeFrom="page">
              <wp14:pctHeight>0</wp14:pctHeight>
            </wp14:sizeRelV>
          </wp:anchor>
        </w:drawing>
      </w:r>
      <w:r w:rsidR="00821EB2" w:rsidRPr="00491D13">
        <w:rPr>
          <w:rFonts w:ascii="Times New Roman" w:hAnsi="Times New Roman" w:cs="Times New Roman"/>
          <w:noProof/>
          <w:sz w:val="22"/>
          <w:szCs w:val="22"/>
        </w:rPr>
        <w:t xml:space="preserve"> American Eagle Outfitters (AEO) exhibits higher and more consistent ROE and RNOA than PVH Corp. (PVH) and Tapestry Inc. (TPR), mainly due to its operational efficiency rather than its debt levels. In FY2024, AEO's ROE and RNOA improved to 18.8% and 18.5%, respectively. TPR's ROE, which had been above 30% in 2023, declined sharply to around 12% in 2024, possibly indicating falling profits or diminishing leverage benefits. PVH's returns remain lower and more volatile, with ROE ranging from 10% to 12% and RNOA from 8% to 10%. Overall, AEO consistently outperforms its competitors and sustains strong returns over time. (See Graph 1 and Appendix - Graph 2)</w:t>
      </w:r>
    </w:p>
    <w:p w14:paraId="63A3E952" w14:textId="77777777" w:rsidR="00183A51" w:rsidRDefault="00183A51" w:rsidP="05FA96B4">
      <w:pPr>
        <w:spacing w:line="276" w:lineRule="auto"/>
        <w:jc w:val="both"/>
        <w:rPr>
          <w:rFonts w:ascii="Times New Roman" w:eastAsia="Times New Roman" w:hAnsi="Times New Roman" w:cs="Times New Roman"/>
          <w:b/>
          <w:bCs/>
          <w:color w:val="000000" w:themeColor="text1"/>
          <w:sz w:val="24"/>
          <w:szCs w:val="24"/>
        </w:rPr>
      </w:pPr>
    </w:p>
    <w:p w14:paraId="285D9B17" w14:textId="77777777" w:rsidR="00216386" w:rsidRDefault="00216386" w:rsidP="05FA96B4">
      <w:pPr>
        <w:spacing w:line="276" w:lineRule="auto"/>
        <w:jc w:val="both"/>
        <w:rPr>
          <w:rFonts w:ascii="Times New Roman" w:eastAsia="Times New Roman" w:hAnsi="Times New Roman" w:cs="Times New Roman"/>
          <w:b/>
          <w:bCs/>
          <w:color w:val="000000" w:themeColor="text1"/>
          <w:sz w:val="24"/>
          <w:szCs w:val="24"/>
        </w:rPr>
      </w:pPr>
    </w:p>
    <w:p w14:paraId="3D5E4912" w14:textId="77777777" w:rsidR="00216386" w:rsidRDefault="00216386" w:rsidP="05FA96B4">
      <w:pPr>
        <w:spacing w:line="276" w:lineRule="auto"/>
        <w:jc w:val="both"/>
        <w:rPr>
          <w:rFonts w:ascii="Times New Roman" w:eastAsia="Times New Roman" w:hAnsi="Times New Roman" w:cs="Times New Roman"/>
          <w:b/>
          <w:bCs/>
          <w:color w:val="000000" w:themeColor="text1"/>
          <w:sz w:val="24"/>
          <w:szCs w:val="24"/>
        </w:rPr>
      </w:pPr>
    </w:p>
    <w:p w14:paraId="718CC956" w14:textId="77777777" w:rsidR="00216386" w:rsidRDefault="00216386" w:rsidP="05FA96B4">
      <w:pPr>
        <w:spacing w:line="276" w:lineRule="auto"/>
        <w:jc w:val="both"/>
        <w:rPr>
          <w:rFonts w:ascii="Times New Roman" w:eastAsia="Times New Roman" w:hAnsi="Times New Roman" w:cs="Times New Roman"/>
          <w:b/>
          <w:bCs/>
          <w:color w:val="000000" w:themeColor="text1"/>
          <w:sz w:val="24"/>
          <w:szCs w:val="24"/>
        </w:rPr>
      </w:pPr>
    </w:p>
    <w:p w14:paraId="599C355E" w14:textId="77777777" w:rsidR="00216386" w:rsidRDefault="00216386" w:rsidP="05FA96B4">
      <w:pPr>
        <w:spacing w:line="276" w:lineRule="auto"/>
        <w:jc w:val="both"/>
        <w:rPr>
          <w:rFonts w:ascii="Times New Roman" w:eastAsia="Times New Roman" w:hAnsi="Times New Roman" w:cs="Times New Roman"/>
          <w:b/>
          <w:bCs/>
          <w:color w:val="000000" w:themeColor="text1"/>
          <w:sz w:val="24"/>
          <w:szCs w:val="24"/>
        </w:rPr>
      </w:pPr>
    </w:p>
    <w:p w14:paraId="2C562462" w14:textId="7E7B84D5" w:rsidR="4EF5F96B" w:rsidRPr="006A7B63" w:rsidRDefault="1F2D67AA" w:rsidP="05FA96B4">
      <w:pPr>
        <w:spacing w:line="276" w:lineRule="auto"/>
        <w:jc w:val="both"/>
        <w:rPr>
          <w:rFonts w:ascii="Times New Roman" w:eastAsia="Times New Roman" w:hAnsi="Times New Roman" w:cs="Times New Roman"/>
          <w:color w:val="000000" w:themeColor="text1"/>
          <w:sz w:val="24"/>
          <w:szCs w:val="24"/>
        </w:rPr>
      </w:pPr>
      <w:r w:rsidRPr="006A7B63">
        <w:rPr>
          <w:rFonts w:ascii="Times New Roman" w:eastAsia="Times New Roman" w:hAnsi="Times New Roman" w:cs="Times New Roman"/>
          <w:b/>
          <w:bCs/>
          <w:color w:val="000000" w:themeColor="text1"/>
          <w:sz w:val="24"/>
          <w:szCs w:val="24"/>
        </w:rPr>
        <w:t>Leverage-and-Capital Structure Analysis</w:t>
      </w:r>
    </w:p>
    <w:p w14:paraId="798E4B4E" w14:textId="05E7327C" w:rsidR="00183A51" w:rsidRDefault="1F2D67AA" w:rsidP="07C4FA19">
      <w:pPr>
        <w:spacing w:line="276" w:lineRule="auto"/>
        <w:jc w:val="both"/>
        <w:rPr>
          <w:rFonts w:ascii="Times New Roman" w:eastAsia="Times New Roman" w:hAnsi="Times New Roman" w:cs="Times New Roman"/>
          <w:color w:val="0B163E"/>
          <w:sz w:val="22"/>
          <w:szCs w:val="22"/>
        </w:rPr>
      </w:pPr>
      <w:r w:rsidRPr="006A7B63">
        <w:rPr>
          <w:rFonts w:ascii="Times New Roman" w:hAnsi="Times New Roman" w:cs="Times New Roman"/>
          <w:noProof/>
          <w:sz w:val="18"/>
          <w:szCs w:val="18"/>
        </w:rPr>
        <w:drawing>
          <wp:anchor distT="0" distB="0" distL="114300" distR="114300" simplePos="0" relativeHeight="251658242" behindDoc="0" locked="0" layoutInCell="1" allowOverlap="1" wp14:anchorId="00A49413" wp14:editId="7C237ACA">
            <wp:simplePos x="0" y="0"/>
            <wp:positionH relativeFrom="column">
              <wp:align>left</wp:align>
            </wp:positionH>
            <wp:positionV relativeFrom="paragraph">
              <wp:posOffset>0</wp:posOffset>
            </wp:positionV>
            <wp:extent cx="3267075" cy="1590675"/>
            <wp:effectExtent l="0" t="0" r="0" b="0"/>
            <wp:wrapSquare wrapText="bothSides"/>
            <wp:docPr id="1293043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3525" name="Picture 1293043525"/>
                    <pic:cNvPicPr/>
                  </pic:nvPicPr>
                  <pic:blipFill>
                    <a:blip r:embed="rId9">
                      <a:extLst>
                        <a:ext uri="{28A0092B-C50C-407E-A947-70E740481C1C}">
                          <a14:useLocalDpi xmlns:a14="http://schemas.microsoft.com/office/drawing/2010/main"/>
                        </a:ext>
                      </a:extLst>
                    </a:blip>
                    <a:stretch>
                      <a:fillRect/>
                    </a:stretch>
                  </pic:blipFill>
                  <pic:spPr>
                    <a:xfrm>
                      <a:off x="0" y="0"/>
                      <a:ext cx="3267075" cy="1590675"/>
                    </a:xfrm>
                    <a:prstGeom prst="rect">
                      <a:avLst/>
                    </a:prstGeom>
                  </pic:spPr>
                </pic:pic>
              </a:graphicData>
            </a:graphic>
            <wp14:sizeRelH relativeFrom="page">
              <wp14:pctWidth>0</wp14:pctWidth>
            </wp14:sizeRelH>
            <wp14:sizeRelV relativeFrom="page">
              <wp14:pctHeight>0</wp14:pctHeight>
            </wp14:sizeRelV>
          </wp:anchor>
        </w:drawing>
      </w:r>
      <w:r w:rsidR="00A52BDA" w:rsidRPr="006A7B63">
        <w:rPr>
          <w:rFonts w:ascii="Times New Roman" w:hAnsi="Times New Roman" w:cs="Times New Roman"/>
          <w:noProof/>
          <w:sz w:val="18"/>
          <w:szCs w:val="18"/>
        </w:rPr>
        <w:t xml:space="preserve"> </w:t>
      </w:r>
      <w:r w:rsidR="00A52BDA" w:rsidRPr="00491D13">
        <w:rPr>
          <w:rFonts w:ascii="Times New Roman" w:hAnsi="Times New Roman" w:cs="Times New Roman"/>
          <w:noProof/>
          <w:sz w:val="22"/>
          <w:szCs w:val="22"/>
        </w:rPr>
        <w:t>American Eagle Outfitters (AEO) drastically reduced its Debt-to-Equity ratio from 0.24 in FY2021 to nearly zero in FY2023, now fully financing operations through equity. This cautious strategy contrasts with Tapestry Inc. (TPR), which increased leverage to about 2.79 by FY2024, and PVH Corp. (PVH), which maintains a moderate 0.41. While AEO’s debt-free status lowers interest expenses and affects its interest coverage ratios, it indicates very low financial risk. Its current ratio of 1.53 and quick ratio of 0.70 suggest adequate short-term liquidity, although inventory levels are still notable. PVH has ratios around 1.3–1.4 for current and 0.6–0.7 for quick ratio, whereas TPR’s current ratio is approximately 1.6–1.7 with a quick ratio near 0.8–0.9. AEO exhibits higher liquidity than PVH but slightly less than TPR, with its debt-free stance setting it apart from both competitors. (see Graph 3, Appendix Graphs 4 and 5)</w:t>
      </w:r>
    </w:p>
    <w:p w14:paraId="3A29E597" w14:textId="77777777" w:rsidR="00381400" w:rsidRPr="00381400" w:rsidRDefault="00381400" w:rsidP="07C4FA19">
      <w:pPr>
        <w:spacing w:line="276" w:lineRule="auto"/>
        <w:jc w:val="both"/>
        <w:rPr>
          <w:rFonts w:ascii="Times New Roman" w:eastAsia="Times New Roman" w:hAnsi="Times New Roman" w:cs="Times New Roman"/>
          <w:color w:val="0B163E"/>
          <w:sz w:val="22"/>
          <w:szCs w:val="22"/>
        </w:rPr>
      </w:pPr>
    </w:p>
    <w:p w14:paraId="2E3B968E" w14:textId="468F110F" w:rsidR="4EF5F96B" w:rsidRPr="00381400" w:rsidRDefault="1F095FE8" w:rsidP="07C4FA19">
      <w:pPr>
        <w:spacing w:line="276" w:lineRule="auto"/>
        <w:jc w:val="both"/>
        <w:rPr>
          <w:rFonts w:ascii="Times New Roman" w:eastAsia="Times New Roman" w:hAnsi="Times New Roman" w:cs="Times New Roman"/>
          <w:color w:val="000000" w:themeColor="text1"/>
          <w:sz w:val="24"/>
          <w:szCs w:val="24"/>
        </w:rPr>
      </w:pPr>
      <w:r w:rsidRPr="00381400">
        <w:rPr>
          <w:rFonts w:ascii="Times New Roman" w:eastAsia="Times New Roman" w:hAnsi="Times New Roman" w:cs="Times New Roman"/>
          <w:b/>
          <w:bCs/>
          <w:color w:val="000000" w:themeColor="text1"/>
          <w:sz w:val="24"/>
          <w:szCs w:val="24"/>
        </w:rPr>
        <w:t>Turnover Analysis</w:t>
      </w:r>
    </w:p>
    <w:p w14:paraId="6F738606" w14:textId="02DE5B54" w:rsidR="0059119F" w:rsidRPr="00491D13" w:rsidRDefault="1F095FE8" w:rsidP="05FA96B4">
      <w:pPr>
        <w:spacing w:after="120"/>
        <w:jc w:val="both"/>
        <w:rPr>
          <w:rFonts w:ascii="Times New Roman" w:eastAsia="Times New Roman" w:hAnsi="Times New Roman" w:cs="Times New Roman"/>
          <w:color w:val="000000" w:themeColor="text1"/>
          <w:sz w:val="22"/>
          <w:szCs w:val="22"/>
        </w:rPr>
      </w:pPr>
      <w:r w:rsidRPr="00491D13">
        <w:rPr>
          <w:rFonts w:ascii="Times New Roman" w:hAnsi="Times New Roman" w:cs="Times New Roman"/>
          <w:noProof/>
          <w:sz w:val="22"/>
          <w:szCs w:val="22"/>
        </w:rPr>
        <w:drawing>
          <wp:anchor distT="0" distB="0" distL="114300" distR="114300" simplePos="0" relativeHeight="251658243" behindDoc="0" locked="0" layoutInCell="1" allowOverlap="1" wp14:anchorId="2A940442" wp14:editId="3EF0A9CC">
            <wp:simplePos x="0" y="0"/>
            <wp:positionH relativeFrom="column">
              <wp:align>right</wp:align>
            </wp:positionH>
            <wp:positionV relativeFrom="paragraph">
              <wp:posOffset>0</wp:posOffset>
            </wp:positionV>
            <wp:extent cx="3429000" cy="2085975"/>
            <wp:effectExtent l="0" t="0" r="0" b="0"/>
            <wp:wrapSquare wrapText="bothSides"/>
            <wp:docPr id="1615392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92463" name="Picture 1615392463"/>
                    <pic:cNvPicPr/>
                  </pic:nvPicPr>
                  <pic:blipFill>
                    <a:blip r:embed="rId10">
                      <a:extLst>
                        <a:ext uri="{28A0092B-C50C-407E-A947-70E740481C1C}">
                          <a14:useLocalDpi xmlns:a14="http://schemas.microsoft.com/office/drawing/2010/main"/>
                        </a:ext>
                      </a:extLst>
                    </a:blip>
                    <a:stretch>
                      <a:fillRect/>
                    </a:stretch>
                  </pic:blipFill>
                  <pic:spPr>
                    <a:xfrm>
                      <a:off x="0" y="0"/>
                      <a:ext cx="3429000" cy="2085975"/>
                    </a:xfrm>
                    <a:prstGeom prst="rect">
                      <a:avLst/>
                    </a:prstGeom>
                  </pic:spPr>
                </pic:pic>
              </a:graphicData>
            </a:graphic>
            <wp14:sizeRelH relativeFrom="page">
              <wp14:pctWidth>0</wp14:pctWidth>
            </wp14:sizeRelH>
            <wp14:sizeRelV relativeFrom="page">
              <wp14:pctHeight>0</wp14:pctHeight>
            </wp14:sizeRelV>
          </wp:anchor>
        </w:drawing>
      </w:r>
      <w:r w:rsidR="000D2FE9" w:rsidRPr="00491D13">
        <w:rPr>
          <w:rFonts w:ascii="Times New Roman" w:hAnsi="Times New Roman" w:cs="Times New Roman"/>
          <w:noProof/>
          <w:sz w:val="22"/>
          <w:szCs w:val="22"/>
        </w:rPr>
        <w:t xml:space="preserve">American Eagle Outfitters (AEO) </w:t>
      </w:r>
      <w:r w:rsidR="00183A51" w:rsidRPr="00491D13">
        <w:rPr>
          <w:rFonts w:ascii="Times New Roman" w:hAnsi="Times New Roman" w:cs="Times New Roman"/>
          <w:noProof/>
          <w:sz w:val="22"/>
          <w:szCs w:val="22"/>
        </w:rPr>
        <w:t>demonstrate</w:t>
      </w:r>
      <w:r w:rsidR="000D2FE9" w:rsidRPr="00491D13">
        <w:rPr>
          <w:rFonts w:ascii="Times New Roman" w:hAnsi="Times New Roman" w:cs="Times New Roman"/>
          <w:noProof/>
          <w:sz w:val="22"/>
          <w:szCs w:val="22"/>
        </w:rPr>
        <w:t>s robust operational efficiency</w:t>
      </w:r>
      <w:r w:rsidR="00183A51" w:rsidRPr="00491D13">
        <w:rPr>
          <w:rFonts w:ascii="Times New Roman" w:hAnsi="Times New Roman" w:cs="Times New Roman"/>
          <w:noProof/>
          <w:sz w:val="22"/>
          <w:szCs w:val="22"/>
        </w:rPr>
        <w:t>,</w:t>
      </w:r>
      <w:r w:rsidR="000D2FE9" w:rsidRPr="00491D13">
        <w:rPr>
          <w:rFonts w:ascii="Times New Roman" w:hAnsi="Times New Roman" w:cs="Times New Roman"/>
          <w:noProof/>
          <w:sz w:val="22"/>
          <w:szCs w:val="22"/>
        </w:rPr>
        <w:t xml:space="preserve"> with a stable Net Operating Asset Turnover (NOAT) </w:t>
      </w:r>
      <w:r w:rsidR="00183A51" w:rsidRPr="00491D13">
        <w:rPr>
          <w:rFonts w:ascii="Times New Roman" w:hAnsi="Times New Roman" w:cs="Times New Roman"/>
          <w:noProof/>
          <w:sz w:val="22"/>
          <w:szCs w:val="22"/>
        </w:rPr>
        <w:t>of</w:t>
      </w:r>
      <w:r w:rsidR="000D2FE9" w:rsidRPr="00491D13">
        <w:rPr>
          <w:rFonts w:ascii="Times New Roman" w:hAnsi="Times New Roman" w:cs="Times New Roman"/>
          <w:noProof/>
          <w:sz w:val="22"/>
          <w:szCs w:val="22"/>
        </w:rPr>
        <w:t xml:space="preserve"> 2.96x to 3.15x. This shows AEO earns about $3 in revenue per $1 of operating assets, a strong indicator for a specialty apparel retailer. Compared to this, Tapestry Inc. (TPR) and PVH Corp. (PVH) have lower NOATs of 1.6x–1.9x and 1.2x–1.5x, mainly due to larger asset bases and higher wholesale activities. AEO’s Days Sales in Receivables are efficient at 15.8–19.4 days, markedly shorter than PVH and TPR, which average 30–45 days. While AEO’s Inventory Holding Period has risen from 58 to 72 days, it remains comparable to industry peers, though the upward trend should be monitored. AEO’s Days Payable Outstanding is between 28 and 31 days, significantly less than TPR and PVH, which range from 100 to 112 days. This suggests AEO’s strong supplier relationships and conservative payment policies. Overall, AEO stands out </w:t>
      </w:r>
      <w:r w:rsidR="00183A51" w:rsidRPr="00491D13">
        <w:rPr>
          <w:rFonts w:ascii="Times New Roman" w:hAnsi="Times New Roman" w:cs="Times New Roman"/>
          <w:noProof/>
          <w:sz w:val="22"/>
          <w:szCs w:val="22"/>
        </w:rPr>
        <w:t>for</w:t>
      </w:r>
      <w:r w:rsidR="000D2FE9" w:rsidRPr="00491D13">
        <w:rPr>
          <w:rFonts w:ascii="Times New Roman" w:hAnsi="Times New Roman" w:cs="Times New Roman"/>
          <w:noProof/>
          <w:sz w:val="22"/>
          <w:szCs w:val="22"/>
        </w:rPr>
        <w:t xml:space="preserve"> better asset utilization</w:t>
      </w:r>
      <w:r w:rsidR="00183A51" w:rsidRPr="00491D13">
        <w:rPr>
          <w:rFonts w:ascii="Times New Roman" w:hAnsi="Times New Roman" w:cs="Times New Roman"/>
          <w:noProof/>
          <w:sz w:val="22"/>
          <w:szCs w:val="22"/>
        </w:rPr>
        <w:t>,</w:t>
      </w:r>
      <w:r w:rsidR="000D2FE9" w:rsidRPr="00491D13">
        <w:rPr>
          <w:rFonts w:ascii="Times New Roman" w:hAnsi="Times New Roman" w:cs="Times New Roman"/>
          <w:noProof/>
          <w:sz w:val="22"/>
          <w:szCs w:val="22"/>
        </w:rPr>
        <w:t xml:space="preserve"> </w:t>
      </w:r>
      <w:r w:rsidR="00381400">
        <w:rPr>
          <w:rFonts w:ascii="Times New Roman" w:hAnsi="Times New Roman" w:cs="Times New Roman"/>
          <w:noProof/>
          <w:sz w:val="22"/>
          <w:szCs w:val="22"/>
        </w:rPr>
        <w:t>fast</w:t>
      </w:r>
      <w:r w:rsidR="000D2FE9" w:rsidRPr="00491D13">
        <w:rPr>
          <w:rFonts w:ascii="Times New Roman" w:hAnsi="Times New Roman" w:cs="Times New Roman"/>
          <w:noProof/>
          <w:sz w:val="22"/>
          <w:szCs w:val="22"/>
        </w:rPr>
        <w:t>er receivables collection, a</w:t>
      </w:r>
      <w:r w:rsidR="00183A51" w:rsidRPr="00491D13">
        <w:rPr>
          <w:rFonts w:ascii="Times New Roman" w:hAnsi="Times New Roman" w:cs="Times New Roman"/>
          <w:noProof/>
          <w:sz w:val="22"/>
          <w:szCs w:val="22"/>
        </w:rPr>
        <w:t>nd</w:t>
      </w:r>
      <w:r w:rsidR="000D2FE9" w:rsidRPr="00491D13">
        <w:rPr>
          <w:rFonts w:ascii="Times New Roman" w:hAnsi="Times New Roman" w:cs="Times New Roman"/>
          <w:noProof/>
          <w:sz w:val="22"/>
          <w:szCs w:val="22"/>
        </w:rPr>
        <w:t xml:space="preserve"> </w:t>
      </w:r>
      <w:r w:rsidR="00381400">
        <w:rPr>
          <w:rFonts w:ascii="Times New Roman" w:hAnsi="Times New Roman" w:cs="Times New Roman"/>
          <w:noProof/>
          <w:sz w:val="22"/>
          <w:szCs w:val="22"/>
        </w:rPr>
        <w:t>shorter</w:t>
      </w:r>
      <w:r w:rsidR="000D2FE9" w:rsidRPr="00491D13">
        <w:rPr>
          <w:rFonts w:ascii="Times New Roman" w:hAnsi="Times New Roman" w:cs="Times New Roman"/>
          <w:noProof/>
          <w:sz w:val="22"/>
          <w:szCs w:val="22"/>
        </w:rPr>
        <w:t xml:space="preserve">, </w:t>
      </w:r>
      <w:r w:rsidR="00381400">
        <w:rPr>
          <w:rFonts w:ascii="Times New Roman" w:hAnsi="Times New Roman" w:cs="Times New Roman"/>
          <w:noProof/>
          <w:sz w:val="22"/>
          <w:szCs w:val="22"/>
        </w:rPr>
        <w:t>disciplined</w:t>
      </w:r>
      <w:r w:rsidR="000D2FE9" w:rsidRPr="00491D13">
        <w:rPr>
          <w:rFonts w:ascii="Times New Roman" w:hAnsi="Times New Roman" w:cs="Times New Roman"/>
          <w:noProof/>
          <w:sz w:val="22"/>
          <w:szCs w:val="22"/>
        </w:rPr>
        <w:t xml:space="preserve"> payment cycles. (see graph 6, Appendix-graphs 7 and 8)</w:t>
      </w:r>
    </w:p>
    <w:p w14:paraId="307B30DF" w14:textId="77777777" w:rsidR="00381400" w:rsidRDefault="00381400" w:rsidP="05FA96B4">
      <w:pPr>
        <w:pStyle w:val="Heading1"/>
        <w:pBdr>
          <w:bottom w:val="single" w:sz="6" w:space="4" w:color="1B3A6B"/>
        </w:pBdr>
        <w:spacing w:before="0"/>
        <w:rPr>
          <w:rFonts w:ascii="Times New Roman" w:hAnsi="Times New Roman" w:cs="Times New Roman"/>
        </w:rPr>
      </w:pPr>
    </w:p>
    <w:p w14:paraId="2F45C38D" w14:textId="0E03525B" w:rsidR="00474F19" w:rsidRPr="006A7B63" w:rsidRDefault="00474F19" w:rsidP="05FA96B4">
      <w:pPr>
        <w:pStyle w:val="Heading1"/>
        <w:pBdr>
          <w:bottom w:val="single" w:sz="6" w:space="4" w:color="1B3A6B"/>
        </w:pBdr>
        <w:spacing w:before="0"/>
        <w:rPr>
          <w:rFonts w:ascii="Times New Roman" w:hAnsi="Times New Roman" w:cs="Times New Roman"/>
        </w:rPr>
      </w:pPr>
      <w:r w:rsidRPr="006A7B63">
        <w:rPr>
          <w:rFonts w:ascii="Times New Roman" w:hAnsi="Times New Roman" w:cs="Times New Roman"/>
        </w:rPr>
        <w:t>5. Financial Statement Forecast (FY2025–FY2031)</w:t>
      </w:r>
    </w:p>
    <w:p w14:paraId="226BB84A" w14:textId="54E7D1D7" w:rsidR="00474F19" w:rsidRPr="00491D13" w:rsidRDefault="00474F19" w:rsidP="05FA96B4">
      <w:pPr>
        <w:spacing w:after="70" w:line="280" w:lineRule="auto"/>
        <w:rPr>
          <w:rFonts w:ascii="Times New Roman" w:hAnsi="Times New Roman" w:cs="Times New Roman"/>
          <w:sz w:val="22"/>
          <w:szCs w:val="22"/>
        </w:rPr>
      </w:pPr>
      <w:r w:rsidRPr="00491D13">
        <w:rPr>
          <w:rFonts w:ascii="Times New Roman" w:hAnsi="Times New Roman" w:cs="Times New Roman"/>
          <w:color w:val="222222"/>
          <w:sz w:val="22"/>
          <w:szCs w:val="22"/>
        </w:rPr>
        <w:t xml:space="preserve">All forecasted figures are sourced directly from the </w:t>
      </w:r>
      <w:proofErr w:type="spellStart"/>
      <w:r w:rsidRPr="00491D13">
        <w:rPr>
          <w:rFonts w:ascii="Times New Roman" w:hAnsi="Times New Roman" w:cs="Times New Roman"/>
          <w:color w:val="222222"/>
          <w:sz w:val="22"/>
          <w:szCs w:val="22"/>
        </w:rPr>
        <w:t>eVal</w:t>
      </w:r>
      <w:proofErr w:type="spellEnd"/>
      <w:r w:rsidRPr="00491D13">
        <w:rPr>
          <w:rFonts w:ascii="Times New Roman" w:hAnsi="Times New Roman" w:cs="Times New Roman"/>
          <w:color w:val="222222"/>
          <w:sz w:val="22"/>
          <w:szCs w:val="22"/>
        </w:rPr>
        <w:t xml:space="preserve"> model (FIN360 – </w:t>
      </w:r>
      <w:proofErr w:type="spellStart"/>
      <w:r w:rsidRPr="00491D13">
        <w:rPr>
          <w:rFonts w:ascii="Times New Roman" w:hAnsi="Times New Roman" w:cs="Times New Roman"/>
          <w:color w:val="222222"/>
          <w:sz w:val="22"/>
          <w:szCs w:val="22"/>
        </w:rPr>
        <w:t>eVal</w:t>
      </w:r>
      <w:proofErr w:type="spellEnd"/>
      <w:r w:rsidRPr="00491D13">
        <w:rPr>
          <w:rFonts w:ascii="Times New Roman" w:hAnsi="Times New Roman" w:cs="Times New Roman"/>
          <w:color w:val="222222"/>
          <w:sz w:val="22"/>
          <w:szCs w:val="22"/>
        </w:rPr>
        <w:t xml:space="preserve"> w Forecast, Villaluz, Meredith T.) as submitted. No values have been </w:t>
      </w:r>
      <w:r w:rsidR="00183A51" w:rsidRPr="00491D13">
        <w:rPr>
          <w:rFonts w:ascii="Times New Roman" w:hAnsi="Times New Roman" w:cs="Times New Roman"/>
          <w:color w:val="222222"/>
          <w:sz w:val="22"/>
          <w:szCs w:val="22"/>
        </w:rPr>
        <w:t>modifi</w:t>
      </w:r>
      <w:r w:rsidRPr="00491D13">
        <w:rPr>
          <w:rFonts w:ascii="Times New Roman" w:hAnsi="Times New Roman" w:cs="Times New Roman"/>
          <w:color w:val="222222"/>
          <w:sz w:val="22"/>
          <w:szCs w:val="22"/>
        </w:rPr>
        <w:t xml:space="preserve">ed or added. The forecast </w:t>
      </w:r>
      <w:r w:rsidR="00183A51" w:rsidRPr="00491D13">
        <w:rPr>
          <w:rFonts w:ascii="Times New Roman" w:hAnsi="Times New Roman" w:cs="Times New Roman"/>
          <w:color w:val="222222"/>
          <w:sz w:val="22"/>
          <w:szCs w:val="22"/>
        </w:rPr>
        <w:t>span</w:t>
      </w:r>
      <w:r w:rsidRPr="00491D13">
        <w:rPr>
          <w:rFonts w:ascii="Times New Roman" w:hAnsi="Times New Roman" w:cs="Times New Roman"/>
          <w:color w:val="222222"/>
          <w:sz w:val="22"/>
          <w:szCs w:val="22"/>
        </w:rPr>
        <w:t>s seven years: FY2025 through FY2031.</w:t>
      </w:r>
    </w:p>
    <w:p w14:paraId="33091029" w14:textId="5563C982" w:rsidR="00474F19" w:rsidRPr="006A7B63" w:rsidRDefault="00474F19" w:rsidP="05FA96B4">
      <w:pPr>
        <w:pStyle w:val="Heading2"/>
        <w:spacing w:before="0"/>
        <w:rPr>
          <w:rFonts w:ascii="Times New Roman" w:hAnsi="Times New Roman" w:cs="Times New Roman"/>
        </w:rPr>
      </w:pPr>
      <w:r w:rsidRPr="006A7B63">
        <w:rPr>
          <w:rFonts w:ascii="Times New Roman" w:hAnsi="Times New Roman" w:cs="Times New Roman"/>
        </w:rPr>
        <w:t>5.1 Forecast Assumptions</w:t>
      </w:r>
    </w:p>
    <w:tbl>
      <w:tblPr>
        <w:tblW w:w="936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5"/>
        <w:gridCol w:w="1009"/>
        <w:gridCol w:w="1009"/>
        <w:gridCol w:w="1009"/>
        <w:gridCol w:w="1009"/>
        <w:gridCol w:w="1009"/>
        <w:gridCol w:w="1010"/>
        <w:gridCol w:w="1010"/>
      </w:tblGrid>
      <w:tr w:rsidR="00474F19" w:rsidRPr="006A7B63" w14:paraId="5BCB9DBB" w14:textId="77777777" w:rsidTr="00381400">
        <w:tc>
          <w:tcPr>
            <w:tcW w:w="229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7DBDD6D3" w14:textId="77777777" w:rsidR="00474F19" w:rsidRPr="006A7B63" w:rsidRDefault="00474F19"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Assumption</w:t>
            </w:r>
          </w:p>
        </w:tc>
        <w:tc>
          <w:tcPr>
            <w:tcW w:w="100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76E74600" w14:textId="633CF609" w:rsidR="00474F19" w:rsidRPr="006A7B63" w:rsidRDefault="00474F19" w:rsidP="009D3D48">
            <w:pPr>
              <w:jc w:val="center"/>
              <w:rPr>
                <w:rFonts w:ascii="Times New Roman" w:hAnsi="Times New Roman" w:cs="Times New Roman"/>
                <w:b/>
                <w:color w:val="FFFFFF" w:themeColor="background1"/>
                <w:sz w:val="19"/>
                <w:szCs w:val="19"/>
              </w:rPr>
            </w:pPr>
            <w:r w:rsidRPr="00590CF5">
              <w:rPr>
                <w:rFonts w:ascii="Times New Roman" w:hAnsi="Times New Roman" w:cs="Times New Roman"/>
                <w:b/>
                <w:bCs/>
                <w:color w:val="FFFFFF" w:themeColor="background1"/>
                <w:sz w:val="19"/>
                <w:szCs w:val="19"/>
              </w:rPr>
              <w:t>FY202</w:t>
            </w:r>
            <w:r w:rsidR="44D5337F" w:rsidRPr="00590CF5">
              <w:rPr>
                <w:rFonts w:ascii="Times New Roman" w:hAnsi="Times New Roman" w:cs="Times New Roman"/>
                <w:b/>
                <w:bCs/>
                <w:color w:val="FFFFFF" w:themeColor="background1"/>
                <w:sz w:val="19"/>
                <w:szCs w:val="19"/>
              </w:rPr>
              <w:t>6</w:t>
            </w:r>
          </w:p>
        </w:tc>
        <w:tc>
          <w:tcPr>
            <w:tcW w:w="100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217556AD" w14:textId="75313968"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FY202</w:t>
            </w:r>
            <w:r w:rsidR="3E5F87D2" w:rsidRPr="00590CF5">
              <w:rPr>
                <w:rFonts w:ascii="Times New Roman" w:hAnsi="Times New Roman" w:cs="Times New Roman"/>
                <w:b/>
                <w:bCs/>
                <w:color w:val="FFFFFF" w:themeColor="background1"/>
                <w:sz w:val="19"/>
                <w:szCs w:val="19"/>
              </w:rPr>
              <w:t>7</w:t>
            </w:r>
          </w:p>
        </w:tc>
        <w:tc>
          <w:tcPr>
            <w:tcW w:w="100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2D8AFB3F" w14:textId="1D1B8231"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FY202</w:t>
            </w:r>
            <w:r w:rsidR="3EE0B3D9" w:rsidRPr="00590CF5">
              <w:rPr>
                <w:rFonts w:ascii="Times New Roman" w:hAnsi="Times New Roman" w:cs="Times New Roman"/>
                <w:b/>
                <w:bCs/>
                <w:color w:val="FFFFFF" w:themeColor="background1"/>
                <w:sz w:val="19"/>
                <w:szCs w:val="19"/>
              </w:rPr>
              <w:t>8</w:t>
            </w:r>
          </w:p>
        </w:tc>
        <w:tc>
          <w:tcPr>
            <w:tcW w:w="100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47D575E7" w14:textId="22A641F8"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FY202</w:t>
            </w:r>
            <w:r w:rsidR="628B0EC0" w:rsidRPr="00590CF5">
              <w:rPr>
                <w:rFonts w:ascii="Times New Roman" w:hAnsi="Times New Roman" w:cs="Times New Roman"/>
                <w:b/>
                <w:bCs/>
                <w:color w:val="FFFFFF" w:themeColor="background1"/>
                <w:sz w:val="19"/>
                <w:szCs w:val="19"/>
              </w:rPr>
              <w:t>9</w:t>
            </w:r>
          </w:p>
        </w:tc>
        <w:tc>
          <w:tcPr>
            <w:tcW w:w="100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63190CD6" w14:textId="499FDCBE" w:rsidR="00474F19" w:rsidRPr="006A7B63" w:rsidRDefault="00474F19" w:rsidP="009D3D48">
            <w:pPr>
              <w:jc w:val="center"/>
              <w:rPr>
                <w:rFonts w:ascii="Times New Roman" w:hAnsi="Times New Roman" w:cs="Times New Roman"/>
                <w:b/>
                <w:color w:val="FFFFFF" w:themeColor="background1"/>
                <w:sz w:val="19"/>
                <w:szCs w:val="19"/>
              </w:rPr>
            </w:pPr>
            <w:r w:rsidRPr="00590CF5">
              <w:rPr>
                <w:rFonts w:ascii="Times New Roman" w:hAnsi="Times New Roman" w:cs="Times New Roman"/>
                <w:b/>
                <w:bCs/>
                <w:color w:val="FFFFFF" w:themeColor="background1"/>
                <w:sz w:val="19"/>
                <w:szCs w:val="19"/>
              </w:rPr>
              <w:t>FY20</w:t>
            </w:r>
            <w:r w:rsidR="27526C64" w:rsidRPr="00590CF5">
              <w:rPr>
                <w:rFonts w:ascii="Times New Roman" w:hAnsi="Times New Roman" w:cs="Times New Roman"/>
                <w:b/>
                <w:bCs/>
                <w:color w:val="FFFFFF" w:themeColor="background1"/>
                <w:sz w:val="19"/>
                <w:szCs w:val="19"/>
              </w:rPr>
              <w:t>30</w:t>
            </w:r>
          </w:p>
        </w:tc>
        <w:tc>
          <w:tcPr>
            <w:tcW w:w="10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530E597D" w14:textId="306F3F98"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FY2030</w:t>
            </w:r>
            <w:r w:rsidR="5B85F3E5" w:rsidRPr="00590CF5">
              <w:rPr>
                <w:rFonts w:ascii="Times New Roman" w:hAnsi="Times New Roman" w:cs="Times New Roman"/>
                <w:b/>
                <w:bCs/>
                <w:color w:val="FFFFFF" w:themeColor="background1"/>
                <w:sz w:val="19"/>
                <w:szCs w:val="19"/>
              </w:rPr>
              <w:t>1</w:t>
            </w:r>
          </w:p>
        </w:tc>
        <w:tc>
          <w:tcPr>
            <w:tcW w:w="10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688BF1E4" w14:textId="2A9E2286"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FY2031</w:t>
            </w:r>
            <w:r w:rsidR="0211F6F7" w:rsidRPr="00590CF5">
              <w:rPr>
                <w:rFonts w:ascii="Times New Roman" w:hAnsi="Times New Roman" w:cs="Times New Roman"/>
                <w:b/>
                <w:bCs/>
                <w:color w:val="FFFFFF" w:themeColor="background1"/>
                <w:sz w:val="19"/>
                <w:szCs w:val="19"/>
              </w:rPr>
              <w:t>2</w:t>
            </w:r>
          </w:p>
        </w:tc>
      </w:tr>
      <w:tr w:rsidR="00474F19" w:rsidRPr="006A7B63" w14:paraId="01D695B8" w14:textId="77777777" w:rsidTr="00381400">
        <w:tc>
          <w:tcPr>
            <w:tcW w:w="2295"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D6EE9F9"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Sales Growth</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312C389"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3.00%</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1E41C96" w14:textId="37AC4394" w:rsidR="00474F19" w:rsidRPr="006A7B63" w:rsidRDefault="0DC5BDF7" w:rsidP="009D3D48">
            <w:pPr>
              <w:jc w:val="center"/>
              <w:rPr>
                <w:rFonts w:ascii="Times New Roman" w:hAnsi="Times New Roman" w:cs="Times New Roman"/>
                <w:color w:val="222222"/>
                <w:sz w:val="19"/>
                <w:szCs w:val="19"/>
              </w:rPr>
            </w:pPr>
            <w:r w:rsidRPr="00590CF5">
              <w:rPr>
                <w:rFonts w:ascii="Times New Roman" w:hAnsi="Times New Roman" w:cs="Times New Roman"/>
                <w:color w:val="222222"/>
                <w:sz w:val="19"/>
                <w:szCs w:val="19"/>
              </w:rPr>
              <w:t>3.15</w:t>
            </w:r>
            <w:r w:rsidR="00474F19" w:rsidRPr="00590CF5">
              <w:rPr>
                <w:rFonts w:ascii="Times New Roman" w:hAnsi="Times New Roman" w:cs="Times New Roman"/>
                <w:color w:val="222222"/>
                <w:sz w:val="19"/>
                <w:szCs w:val="19"/>
              </w:rPr>
              <w:t>%</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7297AB6"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3.30%</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D557840" w14:textId="09274685" w:rsidR="00474F19" w:rsidRPr="006A7B63" w:rsidRDefault="03D8FE8A" w:rsidP="009D3D48">
            <w:pPr>
              <w:jc w:val="center"/>
              <w:rPr>
                <w:rFonts w:ascii="Times New Roman" w:hAnsi="Times New Roman" w:cs="Times New Roman"/>
                <w:color w:val="222222"/>
                <w:sz w:val="19"/>
                <w:szCs w:val="19"/>
              </w:rPr>
            </w:pPr>
            <w:r w:rsidRPr="00590CF5">
              <w:rPr>
                <w:rFonts w:ascii="Times New Roman" w:hAnsi="Times New Roman" w:cs="Times New Roman"/>
                <w:color w:val="222222"/>
                <w:sz w:val="19"/>
                <w:szCs w:val="19"/>
              </w:rPr>
              <w:t>3.25</w:t>
            </w:r>
            <w:r w:rsidR="00474F19" w:rsidRPr="00590CF5">
              <w:rPr>
                <w:rFonts w:ascii="Times New Roman" w:hAnsi="Times New Roman" w:cs="Times New Roman"/>
                <w:color w:val="222222"/>
                <w:sz w:val="19"/>
                <w:szCs w:val="19"/>
              </w:rPr>
              <w:t>%</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2F30AD0"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3.00%</w:t>
            </w:r>
          </w:p>
        </w:tc>
        <w:tc>
          <w:tcPr>
            <w:tcW w:w="101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0F2A60E" w14:textId="2F2D8615" w:rsidR="00474F19" w:rsidRPr="006A7B63" w:rsidRDefault="3273C3AD" w:rsidP="009D3D48">
            <w:pPr>
              <w:jc w:val="center"/>
              <w:rPr>
                <w:rFonts w:ascii="Times New Roman" w:hAnsi="Times New Roman" w:cs="Times New Roman"/>
                <w:color w:val="222222"/>
                <w:sz w:val="19"/>
                <w:szCs w:val="19"/>
              </w:rPr>
            </w:pPr>
            <w:r w:rsidRPr="00590CF5">
              <w:rPr>
                <w:rFonts w:ascii="Times New Roman" w:hAnsi="Times New Roman" w:cs="Times New Roman"/>
                <w:color w:val="222222"/>
                <w:sz w:val="19"/>
                <w:szCs w:val="19"/>
              </w:rPr>
              <w:t>3.25</w:t>
            </w:r>
            <w:r w:rsidR="00474F19" w:rsidRPr="00590CF5">
              <w:rPr>
                <w:rFonts w:ascii="Times New Roman" w:hAnsi="Times New Roman" w:cs="Times New Roman"/>
                <w:color w:val="222222"/>
                <w:sz w:val="19"/>
                <w:szCs w:val="19"/>
              </w:rPr>
              <w:t>%</w:t>
            </w:r>
          </w:p>
        </w:tc>
        <w:tc>
          <w:tcPr>
            <w:tcW w:w="101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7D92E6C" w14:textId="0EA5E6DB" w:rsidR="00474F19" w:rsidRPr="006A7B63" w:rsidRDefault="5494111D" w:rsidP="009D3D48">
            <w:pPr>
              <w:jc w:val="center"/>
              <w:rPr>
                <w:rFonts w:ascii="Times New Roman" w:hAnsi="Times New Roman" w:cs="Times New Roman"/>
                <w:color w:val="222222"/>
                <w:sz w:val="19"/>
                <w:szCs w:val="19"/>
              </w:rPr>
            </w:pPr>
            <w:r w:rsidRPr="00590CF5">
              <w:rPr>
                <w:rFonts w:ascii="Times New Roman" w:hAnsi="Times New Roman" w:cs="Times New Roman"/>
                <w:color w:val="222222"/>
                <w:sz w:val="19"/>
                <w:szCs w:val="19"/>
              </w:rPr>
              <w:t>3.4</w:t>
            </w:r>
            <w:r w:rsidR="00474F19" w:rsidRPr="00590CF5">
              <w:rPr>
                <w:rFonts w:ascii="Times New Roman" w:hAnsi="Times New Roman" w:cs="Times New Roman"/>
                <w:color w:val="222222"/>
                <w:sz w:val="19"/>
                <w:szCs w:val="19"/>
              </w:rPr>
              <w:t>%</w:t>
            </w:r>
          </w:p>
        </w:tc>
      </w:tr>
      <w:tr w:rsidR="00474F19" w:rsidRPr="006A7B63" w14:paraId="64D5B4ED" w14:textId="77777777" w:rsidTr="00381400">
        <w:tc>
          <w:tcPr>
            <w:tcW w:w="22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203A54F7"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COGS / Sales</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8DA4625"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59.0%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8C1F60C"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58.0%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40906E5"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57.5%</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95A658C"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57.0%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BF663FB"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56.0%</w:t>
            </w:r>
          </w:p>
        </w:tc>
        <w:tc>
          <w:tcPr>
            <w:tcW w:w="1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6666FE5"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55.5%</w:t>
            </w:r>
          </w:p>
        </w:tc>
        <w:tc>
          <w:tcPr>
            <w:tcW w:w="1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2DF8A9E"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55.0%</w:t>
            </w:r>
          </w:p>
        </w:tc>
      </w:tr>
      <w:tr w:rsidR="00474F19" w:rsidRPr="006A7B63" w14:paraId="679ED9FB" w14:textId="77777777" w:rsidTr="00381400">
        <w:tc>
          <w:tcPr>
            <w:tcW w:w="2295"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58AC6A7"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SG&amp;A / Sales</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7F3FDB6"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27.0%</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6591180"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27.2%</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20121EE"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26.9%</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07F9DC6"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26.7%</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AD48794"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26.5%</w:t>
            </w:r>
          </w:p>
        </w:tc>
        <w:tc>
          <w:tcPr>
            <w:tcW w:w="101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661F9A8"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26.0%</w:t>
            </w:r>
          </w:p>
        </w:tc>
        <w:tc>
          <w:tcPr>
            <w:tcW w:w="101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7B3610B"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25.9%</w:t>
            </w:r>
          </w:p>
        </w:tc>
      </w:tr>
      <w:tr w:rsidR="00474F19" w:rsidRPr="006A7B63" w14:paraId="67722DF9" w14:textId="77777777" w:rsidTr="00381400">
        <w:tc>
          <w:tcPr>
            <w:tcW w:w="22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41D5D1B"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Effective Tax Rate</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589B65E"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25.0%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F25FAA9"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25.0%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F0DD5F3"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25.0%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0D599BB"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25.0%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D77553A"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25.0%</w:t>
            </w:r>
          </w:p>
        </w:tc>
        <w:tc>
          <w:tcPr>
            <w:tcW w:w="1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60D780D"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25.0%</w:t>
            </w:r>
          </w:p>
        </w:tc>
        <w:tc>
          <w:tcPr>
            <w:tcW w:w="1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DC34671"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25.0%</w:t>
            </w:r>
          </w:p>
        </w:tc>
      </w:tr>
      <w:tr w:rsidR="00474F19" w:rsidRPr="006A7B63" w14:paraId="211A756F" w14:textId="77777777" w:rsidTr="00381400">
        <w:tc>
          <w:tcPr>
            <w:tcW w:w="2295"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25A89E4"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Dividend Payout</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668C0E8"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30%</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BBD25EC"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31%</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264BDEE"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32%</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DD71C38"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33%</w:t>
            </w:r>
          </w:p>
        </w:tc>
        <w:tc>
          <w:tcPr>
            <w:tcW w:w="100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0625222"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33%</w:t>
            </w:r>
          </w:p>
        </w:tc>
        <w:tc>
          <w:tcPr>
            <w:tcW w:w="101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6F5A843"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34%</w:t>
            </w:r>
          </w:p>
        </w:tc>
        <w:tc>
          <w:tcPr>
            <w:tcW w:w="101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944D7E0"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34%</w:t>
            </w:r>
          </w:p>
        </w:tc>
      </w:tr>
      <w:tr w:rsidR="00474F19" w:rsidRPr="006A7B63" w14:paraId="640C9B1D" w14:textId="77777777" w:rsidTr="00381400">
        <w:tc>
          <w:tcPr>
            <w:tcW w:w="22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F17DAA0"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Long-Term Debt</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212AE18D"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b/>
                <w:bCs/>
                <w:color w:val="1A6B2C"/>
                <w:sz w:val="19"/>
                <w:szCs w:val="19"/>
              </w:rPr>
              <w:t>$0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51BA542"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b/>
                <w:bCs/>
                <w:color w:val="1A6B2C"/>
                <w:sz w:val="19"/>
                <w:szCs w:val="19"/>
              </w:rPr>
              <w:t>$0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09F8FF3"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b/>
                <w:bCs/>
                <w:color w:val="1A6B2C"/>
                <w:sz w:val="19"/>
                <w:szCs w:val="19"/>
              </w:rPr>
              <w:t>$0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4620EE1"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b/>
                <w:bCs/>
                <w:color w:val="1A6B2C"/>
                <w:sz w:val="19"/>
                <w:szCs w:val="19"/>
              </w:rPr>
              <w:t>$0</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0E1B104"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b/>
                <w:bCs/>
                <w:color w:val="1A6B2C"/>
                <w:sz w:val="19"/>
                <w:szCs w:val="19"/>
              </w:rPr>
              <w:t>$0</w:t>
            </w:r>
          </w:p>
        </w:tc>
        <w:tc>
          <w:tcPr>
            <w:tcW w:w="1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D50DA24"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b/>
                <w:bCs/>
                <w:color w:val="1A6B2C"/>
                <w:sz w:val="19"/>
                <w:szCs w:val="19"/>
              </w:rPr>
              <w:t>$0</w:t>
            </w:r>
          </w:p>
        </w:tc>
        <w:tc>
          <w:tcPr>
            <w:tcW w:w="101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21CD824D"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b/>
                <w:bCs/>
                <w:color w:val="1A6B2C"/>
                <w:sz w:val="19"/>
                <w:szCs w:val="19"/>
              </w:rPr>
              <w:t>$0</w:t>
            </w:r>
          </w:p>
        </w:tc>
      </w:tr>
    </w:tbl>
    <w:p w14:paraId="52A78AE4" w14:textId="77777777" w:rsidR="00474F19" w:rsidRPr="006A7B63" w:rsidRDefault="00474F19" w:rsidP="05FA96B4">
      <w:pPr>
        <w:rPr>
          <w:rFonts w:ascii="Times New Roman" w:hAnsi="Times New Roman" w:cs="Times New Roman"/>
        </w:rPr>
      </w:pPr>
    </w:p>
    <w:p w14:paraId="2F1C35FC" w14:textId="77777777" w:rsidR="00216386" w:rsidRDefault="00216386" w:rsidP="05FA96B4">
      <w:pPr>
        <w:spacing w:after="50"/>
        <w:jc w:val="center"/>
        <w:rPr>
          <w:rFonts w:ascii="Times New Roman" w:hAnsi="Times New Roman" w:cs="Times New Roman"/>
        </w:rPr>
      </w:pPr>
    </w:p>
    <w:p w14:paraId="00882120" w14:textId="77777777" w:rsidR="00474F19" w:rsidRDefault="00474F19" w:rsidP="05FA96B4">
      <w:pPr>
        <w:spacing w:after="50"/>
        <w:jc w:val="center"/>
        <w:rPr>
          <w:rFonts w:ascii="Times New Roman" w:hAnsi="Times New Roman" w:cs="Times New Roman"/>
        </w:rPr>
      </w:pPr>
      <w:r>
        <w:drawing>
          <wp:inline distT="0" distB="0" distL="0" distR="0" wp14:anchorId="451EB735" wp14:editId="404A4E50">
            <wp:extent cx="3436818" cy="1653563"/>
            <wp:effectExtent l="0" t="0" r="5080" b="0"/>
            <wp:docPr id="1014835759" name="Figure 5: Forecast Assumptions — COGS, SG&amp;A, and Sales Growth (FY2025–FY2031)" descr="Figure 5: Forecast Assumptions — COGS, SG&amp;A, and Sales Growth (FY2025–FY2031)" title="Figure 5: Forecast Assumptions — COGS, SG&amp;A, and Sales Growth (FY2025–FY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21141" cy="1694133"/>
                    </a:xfrm>
                    <a:prstGeom prst="rect">
                      <a:avLst/>
                    </a:prstGeom>
                  </pic:spPr>
                </pic:pic>
              </a:graphicData>
            </a:graphic>
          </wp:inline>
        </w:drawing>
      </w:r>
    </w:p>
    <w:p w14:paraId="686FBEAA" w14:textId="77777777" w:rsidR="00216386" w:rsidRPr="006A7B63" w:rsidRDefault="00216386" w:rsidP="05FA96B4">
      <w:pPr>
        <w:spacing w:after="50"/>
        <w:jc w:val="center"/>
        <w:rPr>
          <w:rFonts w:ascii="Times New Roman" w:hAnsi="Times New Roman" w:cs="Times New Roman"/>
        </w:rPr>
      </w:pPr>
    </w:p>
    <w:p w14:paraId="25ED7170" w14:textId="74EC95F9" w:rsidR="00474F19" w:rsidRPr="006A7B63" w:rsidRDefault="00474F19" w:rsidP="05FA96B4">
      <w:pPr>
        <w:pStyle w:val="Heading2"/>
        <w:spacing w:before="0"/>
        <w:rPr>
          <w:rFonts w:ascii="Times New Roman" w:hAnsi="Times New Roman" w:cs="Times New Roman"/>
        </w:rPr>
      </w:pPr>
      <w:r w:rsidRPr="006A7B63">
        <w:rPr>
          <w:rFonts w:ascii="Times New Roman" w:hAnsi="Times New Roman" w:cs="Times New Roman"/>
        </w:rPr>
        <w:t>5.2 Forecasted Income Statement (FY2025–FY2031)</w:t>
      </w:r>
    </w:p>
    <w:tbl>
      <w:tblPr>
        <w:tblW w:w="936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040"/>
        <w:gridCol w:w="1040"/>
        <w:gridCol w:w="1040"/>
        <w:gridCol w:w="1040"/>
        <w:gridCol w:w="1040"/>
        <w:gridCol w:w="1040"/>
        <w:gridCol w:w="1020"/>
      </w:tblGrid>
      <w:tr w:rsidR="00474F19" w:rsidRPr="006A7B63" w14:paraId="7ED432C2" w14:textId="77777777" w:rsidTr="00381400">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21259125" w14:textId="77777777" w:rsidR="00474F19" w:rsidRPr="006A7B63" w:rsidRDefault="00474F19"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Item (USD Millions)</w:t>
            </w:r>
          </w:p>
        </w:tc>
        <w:tc>
          <w:tcPr>
            <w:tcW w:w="10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393E0428" w14:textId="6FEA96A0"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FY202</w:t>
            </w:r>
            <w:r w:rsidR="3078FBEA" w:rsidRPr="00590CF5">
              <w:rPr>
                <w:rFonts w:ascii="Times New Roman" w:hAnsi="Times New Roman" w:cs="Times New Roman"/>
                <w:b/>
                <w:bCs/>
                <w:color w:val="FFFFFF" w:themeColor="background1"/>
                <w:sz w:val="19"/>
                <w:szCs w:val="19"/>
              </w:rPr>
              <w:t>6</w:t>
            </w:r>
          </w:p>
        </w:tc>
        <w:tc>
          <w:tcPr>
            <w:tcW w:w="10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1B324E35" w14:textId="23AE017D"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FY202</w:t>
            </w:r>
            <w:r w:rsidR="585F38A3" w:rsidRPr="00590CF5">
              <w:rPr>
                <w:rFonts w:ascii="Times New Roman" w:hAnsi="Times New Roman" w:cs="Times New Roman"/>
                <w:b/>
                <w:bCs/>
                <w:color w:val="FFFFFF" w:themeColor="background1"/>
                <w:sz w:val="19"/>
                <w:szCs w:val="19"/>
              </w:rPr>
              <w:t>7</w:t>
            </w:r>
          </w:p>
        </w:tc>
        <w:tc>
          <w:tcPr>
            <w:tcW w:w="10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73EF170D" w14:textId="0021B13F"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FY202</w:t>
            </w:r>
            <w:r w:rsidR="21244CD0" w:rsidRPr="00590CF5">
              <w:rPr>
                <w:rFonts w:ascii="Times New Roman" w:hAnsi="Times New Roman" w:cs="Times New Roman"/>
                <w:b/>
                <w:bCs/>
                <w:color w:val="FFFFFF" w:themeColor="background1"/>
                <w:sz w:val="19"/>
                <w:szCs w:val="19"/>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365438B9" w14:textId="7EEEA8E2"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FY202</w:t>
            </w:r>
            <w:r w:rsidR="3EF050B0" w:rsidRPr="00590CF5">
              <w:rPr>
                <w:rFonts w:ascii="Times New Roman" w:hAnsi="Times New Roman" w:cs="Times New Roman"/>
                <w:b/>
                <w:bCs/>
                <w:color w:val="FFFFFF" w:themeColor="background1"/>
                <w:sz w:val="19"/>
                <w:szCs w:val="19"/>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5810D35E" w14:textId="571CB712"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w:t>
            </w:r>
            <w:r w:rsidR="464A2A90" w:rsidRPr="00590CF5">
              <w:rPr>
                <w:rFonts w:ascii="Times New Roman" w:hAnsi="Times New Roman" w:cs="Times New Roman"/>
                <w:b/>
                <w:bCs/>
                <w:color w:val="FFFFFF" w:themeColor="background1"/>
                <w:sz w:val="19"/>
                <w:szCs w:val="19"/>
              </w:rPr>
              <w:t>30</w:t>
            </w:r>
          </w:p>
        </w:tc>
        <w:tc>
          <w:tcPr>
            <w:tcW w:w="10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1889A5E7" w14:textId="500D9260" w:rsidR="00474F19" w:rsidRPr="006A7B63" w:rsidRDefault="00474F19" w:rsidP="009D3D48">
            <w:pPr>
              <w:jc w:val="center"/>
              <w:rPr>
                <w:rFonts w:ascii="Times New Roman" w:hAnsi="Times New Roman" w:cs="Times New Roman"/>
              </w:rPr>
            </w:pPr>
            <w:r w:rsidRPr="00590CF5">
              <w:rPr>
                <w:rFonts w:ascii="Times New Roman" w:hAnsi="Times New Roman" w:cs="Times New Roman"/>
                <w:b/>
                <w:bCs/>
                <w:color w:val="FFFFFF" w:themeColor="background1"/>
                <w:sz w:val="19"/>
                <w:szCs w:val="19"/>
              </w:rPr>
              <w:t>FY203</w:t>
            </w:r>
            <w:r w:rsidR="3AC4DE55" w:rsidRPr="00590CF5">
              <w:rPr>
                <w:rFonts w:ascii="Times New Roman" w:hAnsi="Times New Roman" w:cs="Times New Roman"/>
                <w:b/>
                <w:bCs/>
                <w:color w:val="FFFFFF" w:themeColor="background1"/>
                <w:sz w:val="19"/>
                <w:szCs w:val="19"/>
              </w:rPr>
              <w:t>1</w:t>
            </w:r>
          </w:p>
        </w:tc>
        <w:tc>
          <w:tcPr>
            <w:tcW w:w="10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73AE3FD8" w14:textId="71D1012B" w:rsidR="00474F19" w:rsidRPr="006A7B63" w:rsidRDefault="00474F19" w:rsidP="009D3D48">
            <w:pPr>
              <w:jc w:val="center"/>
              <w:rPr>
                <w:rFonts w:ascii="Times New Roman" w:hAnsi="Times New Roman" w:cs="Times New Roman"/>
                <w:b/>
                <w:color w:val="FFFFFF" w:themeColor="background1"/>
                <w:sz w:val="19"/>
                <w:szCs w:val="19"/>
              </w:rPr>
            </w:pPr>
            <w:r w:rsidRPr="00590CF5">
              <w:rPr>
                <w:rFonts w:ascii="Times New Roman" w:hAnsi="Times New Roman" w:cs="Times New Roman"/>
                <w:b/>
                <w:bCs/>
                <w:color w:val="FFFFFF" w:themeColor="background1"/>
                <w:sz w:val="19"/>
                <w:szCs w:val="19"/>
              </w:rPr>
              <w:t>FY203</w:t>
            </w:r>
            <w:r w:rsidR="40BB2D28" w:rsidRPr="00590CF5">
              <w:rPr>
                <w:rFonts w:ascii="Times New Roman" w:hAnsi="Times New Roman" w:cs="Times New Roman"/>
                <w:b/>
                <w:bCs/>
                <w:color w:val="FFFFFF" w:themeColor="background1"/>
                <w:sz w:val="19"/>
                <w:szCs w:val="19"/>
              </w:rPr>
              <w:t>2</w:t>
            </w:r>
          </w:p>
        </w:tc>
      </w:tr>
      <w:tr w:rsidR="00474F19" w:rsidRPr="006A7B63" w14:paraId="6D583FF9" w14:textId="77777777" w:rsidTr="00381400">
        <w:tc>
          <w:tcPr>
            <w:tcW w:w="21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DAC2EE5"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Net Revenue</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18FC8C1"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$5,489</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4156B7B" w14:textId="42BF8544"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$5,</w:t>
            </w:r>
            <w:r w:rsidRPr="00590CF5">
              <w:rPr>
                <w:rFonts w:ascii="Times New Roman" w:hAnsi="Times New Roman" w:cs="Times New Roman"/>
                <w:color w:val="222222"/>
                <w:sz w:val="19"/>
                <w:szCs w:val="19"/>
              </w:rPr>
              <w:t>6</w:t>
            </w:r>
            <w:r w:rsidR="6928464B" w:rsidRPr="00590CF5">
              <w:rPr>
                <w:rFonts w:ascii="Times New Roman" w:hAnsi="Times New Roman" w:cs="Times New Roman"/>
                <w:color w:val="222222"/>
                <w:sz w:val="19"/>
                <w:szCs w:val="19"/>
              </w:rPr>
              <w:t>61</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4C91F96" w14:textId="0D6F48C2"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$5,</w:t>
            </w:r>
            <w:r w:rsidRPr="00590CF5">
              <w:rPr>
                <w:rFonts w:ascii="Times New Roman" w:hAnsi="Times New Roman" w:cs="Times New Roman"/>
                <w:color w:val="222222"/>
                <w:sz w:val="19"/>
                <w:szCs w:val="19"/>
              </w:rPr>
              <w:t>8</w:t>
            </w:r>
            <w:r w:rsidR="6543E8ED" w:rsidRPr="00590CF5">
              <w:rPr>
                <w:rFonts w:ascii="Times New Roman" w:hAnsi="Times New Roman" w:cs="Times New Roman"/>
                <w:color w:val="222222"/>
                <w:sz w:val="19"/>
                <w:szCs w:val="19"/>
              </w:rPr>
              <w:t>48</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2CD5F10" w14:textId="124F82AF"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$6,</w:t>
            </w:r>
            <w:r w:rsidRPr="00590CF5">
              <w:rPr>
                <w:rFonts w:ascii="Times New Roman" w:hAnsi="Times New Roman" w:cs="Times New Roman"/>
                <w:color w:val="222222"/>
                <w:sz w:val="19"/>
                <w:szCs w:val="19"/>
              </w:rPr>
              <w:t>0</w:t>
            </w:r>
            <w:r w:rsidR="7A3CF176" w:rsidRPr="00590CF5">
              <w:rPr>
                <w:rFonts w:ascii="Times New Roman" w:hAnsi="Times New Roman" w:cs="Times New Roman"/>
                <w:color w:val="222222"/>
                <w:sz w:val="19"/>
                <w:szCs w:val="19"/>
              </w:rPr>
              <w:t>38</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BC4AAAE" w14:textId="5AD405E9"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$6,</w:t>
            </w:r>
            <w:r w:rsidR="473D3E70" w:rsidRPr="00590CF5">
              <w:rPr>
                <w:rFonts w:ascii="Times New Roman" w:hAnsi="Times New Roman" w:cs="Times New Roman"/>
                <w:color w:val="222222"/>
                <w:sz w:val="19"/>
                <w:szCs w:val="19"/>
              </w:rPr>
              <w:t>219</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2D47BBA" w14:textId="6923ADAD"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$6,</w:t>
            </w:r>
            <w:r w:rsidR="17001584" w:rsidRPr="00590CF5">
              <w:rPr>
                <w:rFonts w:ascii="Times New Roman" w:hAnsi="Times New Roman" w:cs="Times New Roman"/>
                <w:color w:val="222222"/>
                <w:sz w:val="19"/>
                <w:szCs w:val="19"/>
              </w:rPr>
              <w:t>421</w:t>
            </w:r>
          </w:p>
        </w:tc>
        <w:tc>
          <w:tcPr>
            <w:tcW w:w="10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C9B4FFB" w14:textId="26110CDD"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$6,</w:t>
            </w:r>
            <w:r w:rsidR="0EF71BBA" w:rsidRPr="00590CF5">
              <w:rPr>
                <w:rFonts w:ascii="Times New Roman" w:hAnsi="Times New Roman" w:cs="Times New Roman"/>
                <w:color w:val="222222"/>
                <w:sz w:val="19"/>
                <w:szCs w:val="19"/>
              </w:rPr>
              <w:t>640</w:t>
            </w:r>
          </w:p>
        </w:tc>
      </w:tr>
      <w:tr w:rsidR="00474F19" w:rsidRPr="006A7B63" w14:paraId="2CFC20E3" w14:textId="77777777" w:rsidTr="00381400">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D9B33F5"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Gross Profit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6252B9F"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$2,250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B076914" w14:textId="4BA40B79"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w:t>
            </w:r>
            <w:r w:rsidRPr="00590CF5">
              <w:rPr>
                <w:rFonts w:ascii="Times New Roman" w:hAnsi="Times New Roman" w:cs="Times New Roman"/>
                <w:color w:val="222222"/>
                <w:sz w:val="19"/>
                <w:szCs w:val="19"/>
              </w:rPr>
              <w:t>37</w:t>
            </w:r>
            <w:r w:rsidR="6123C976" w:rsidRPr="00590CF5">
              <w:rPr>
                <w:rFonts w:ascii="Times New Roman" w:hAnsi="Times New Roman" w:cs="Times New Roman"/>
                <w:color w:val="222222"/>
                <w:sz w:val="19"/>
                <w:szCs w:val="19"/>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656D08D" w14:textId="4D398756"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$2,</w:t>
            </w:r>
            <w:r w:rsidRPr="00590CF5">
              <w:rPr>
                <w:rFonts w:ascii="Times New Roman" w:hAnsi="Times New Roman" w:cs="Times New Roman"/>
                <w:color w:val="222222"/>
                <w:sz w:val="19"/>
                <w:szCs w:val="19"/>
              </w:rPr>
              <w:t>48</w:t>
            </w:r>
            <w:r w:rsidR="51D61AD4" w:rsidRPr="00590CF5">
              <w:rPr>
                <w:rFonts w:ascii="Times New Roman" w:hAnsi="Times New Roman" w:cs="Times New Roman"/>
                <w:color w:val="222222"/>
                <w:sz w:val="19"/>
                <w:szCs w:val="19"/>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B8B721C" w14:textId="2CA7EA5B"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$2,</w:t>
            </w:r>
            <w:r w:rsidRPr="00590CF5">
              <w:rPr>
                <w:rFonts w:ascii="Times New Roman" w:hAnsi="Times New Roman" w:cs="Times New Roman"/>
                <w:color w:val="222222"/>
                <w:sz w:val="19"/>
                <w:szCs w:val="19"/>
              </w:rPr>
              <w:t>5</w:t>
            </w:r>
            <w:r w:rsidR="0048BD89" w:rsidRPr="00590CF5">
              <w:rPr>
                <w:rFonts w:ascii="Times New Roman" w:hAnsi="Times New Roman" w:cs="Times New Roman"/>
                <w:color w:val="222222"/>
                <w:sz w:val="19"/>
                <w:szCs w:val="19"/>
              </w:rPr>
              <w:t>96</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FA5818C" w14:textId="4A1B87F7"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$2,</w:t>
            </w:r>
            <w:r w:rsidRPr="00590CF5">
              <w:rPr>
                <w:rFonts w:ascii="Times New Roman" w:hAnsi="Times New Roman" w:cs="Times New Roman"/>
                <w:color w:val="222222"/>
                <w:sz w:val="19"/>
                <w:szCs w:val="19"/>
              </w:rPr>
              <w:t>7</w:t>
            </w:r>
            <w:r w:rsidR="3DBBE32B" w:rsidRPr="00590CF5">
              <w:rPr>
                <w:rFonts w:ascii="Times New Roman" w:hAnsi="Times New Roman" w:cs="Times New Roman"/>
                <w:color w:val="222222"/>
                <w:sz w:val="19"/>
                <w:szCs w:val="19"/>
              </w:rPr>
              <w:t>37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B67CED9" w14:textId="7434945E"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$2,</w:t>
            </w:r>
            <w:r w:rsidRPr="00590CF5">
              <w:rPr>
                <w:rFonts w:ascii="Times New Roman" w:hAnsi="Times New Roman" w:cs="Times New Roman"/>
                <w:color w:val="222222"/>
                <w:sz w:val="19"/>
                <w:szCs w:val="19"/>
              </w:rPr>
              <w:t>8</w:t>
            </w:r>
            <w:r w:rsidR="263CE275" w:rsidRPr="00590CF5">
              <w:rPr>
                <w:rFonts w:ascii="Times New Roman" w:hAnsi="Times New Roman" w:cs="Times New Roman"/>
                <w:color w:val="222222"/>
                <w:sz w:val="19"/>
                <w:szCs w:val="19"/>
              </w:rPr>
              <w:t>58</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8771F65" w14:textId="4F567333"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$2,</w:t>
            </w:r>
            <w:r w:rsidRPr="00590CF5">
              <w:rPr>
                <w:rFonts w:ascii="Times New Roman" w:hAnsi="Times New Roman" w:cs="Times New Roman"/>
                <w:color w:val="222222"/>
                <w:sz w:val="19"/>
                <w:szCs w:val="19"/>
              </w:rPr>
              <w:t>9</w:t>
            </w:r>
            <w:r w:rsidR="0EC02322" w:rsidRPr="00590CF5">
              <w:rPr>
                <w:rFonts w:ascii="Times New Roman" w:hAnsi="Times New Roman" w:cs="Times New Roman"/>
                <w:color w:val="222222"/>
                <w:sz w:val="19"/>
                <w:szCs w:val="19"/>
              </w:rPr>
              <w:t>88</w:t>
            </w:r>
          </w:p>
        </w:tc>
      </w:tr>
      <w:tr w:rsidR="00474F19" w:rsidRPr="006A7B63" w14:paraId="49B06BA4" w14:textId="77777777" w:rsidTr="00381400">
        <w:tc>
          <w:tcPr>
            <w:tcW w:w="21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F866AF9"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Gross Margin</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2C2A960"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41.0%</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0E89653"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42.0%</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5DBCED0"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42.5%</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C99C12D"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43.0%</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194BD5B"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44.0%</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2311604"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44.5%</w:t>
            </w:r>
          </w:p>
        </w:tc>
        <w:tc>
          <w:tcPr>
            <w:tcW w:w="10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02655A5"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b/>
                <w:bCs/>
                <w:color w:val="1A6B2C"/>
                <w:sz w:val="19"/>
                <w:szCs w:val="19"/>
              </w:rPr>
              <w:t>45.0%</w:t>
            </w:r>
          </w:p>
        </w:tc>
      </w:tr>
      <w:tr w:rsidR="00474F19" w:rsidRPr="006A7B63" w14:paraId="00E5568C" w14:textId="77777777" w:rsidTr="00381400">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01E551D"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EBITDA</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6B3E78A"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$768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EC68733" w14:textId="1FFCB55E"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83</w:t>
            </w:r>
            <w:r w:rsidR="748EEEB6" w:rsidRPr="00590CF5">
              <w:rPr>
                <w:rFonts w:ascii="Times New Roman" w:hAnsi="Times New Roman" w:cs="Times New Roman"/>
                <w:color w:val="222222"/>
                <w:sz w:val="19"/>
                <w:szCs w:val="19"/>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13DA949" w14:textId="5556F523"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91</w:t>
            </w:r>
            <w:r w:rsidR="0C2CAE50" w:rsidRPr="00590CF5">
              <w:rPr>
                <w:rFonts w:ascii="Times New Roman" w:hAnsi="Times New Roman" w:cs="Times New Roman"/>
                <w:color w:val="222222"/>
                <w:sz w:val="19"/>
                <w:szCs w:val="19"/>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459435CD" w14:textId="0704809F"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9</w:t>
            </w:r>
            <w:r w:rsidR="4D828B02" w:rsidRPr="00590CF5">
              <w:rPr>
                <w:rFonts w:ascii="Times New Roman" w:hAnsi="Times New Roman" w:cs="Times New Roman"/>
                <w:color w:val="222222"/>
                <w:sz w:val="19"/>
                <w:szCs w:val="19"/>
              </w:rPr>
              <w:t>84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1E0E2F8" w14:textId="3EF26739"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$1,</w:t>
            </w:r>
            <w:r w:rsidRPr="00590CF5">
              <w:rPr>
                <w:rFonts w:ascii="Times New Roman" w:hAnsi="Times New Roman" w:cs="Times New Roman"/>
                <w:color w:val="222222"/>
                <w:sz w:val="19"/>
                <w:szCs w:val="19"/>
              </w:rPr>
              <w:t>08</w:t>
            </w:r>
            <w:r w:rsidR="140D6FE9" w:rsidRPr="00590CF5">
              <w:rPr>
                <w:rFonts w:ascii="Times New Roman" w:hAnsi="Times New Roman" w:cs="Times New Roman"/>
                <w:color w:val="222222"/>
                <w:sz w:val="19"/>
                <w:szCs w:val="19"/>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B703AB5" w14:textId="3B6E94B0"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$1,</w:t>
            </w:r>
            <w:r w:rsidRPr="00590CF5">
              <w:rPr>
                <w:rFonts w:ascii="Times New Roman" w:hAnsi="Times New Roman" w:cs="Times New Roman"/>
                <w:color w:val="222222"/>
                <w:sz w:val="19"/>
                <w:szCs w:val="19"/>
              </w:rPr>
              <w:t>1</w:t>
            </w:r>
            <w:r w:rsidR="0FE4D194" w:rsidRPr="00590CF5">
              <w:rPr>
                <w:rFonts w:ascii="Times New Roman" w:hAnsi="Times New Roman" w:cs="Times New Roman"/>
                <w:color w:val="222222"/>
                <w:sz w:val="19"/>
                <w:szCs w:val="19"/>
              </w:rPr>
              <w:t>87</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B88F9D5" w14:textId="55CF4E33"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$1,</w:t>
            </w:r>
            <w:r w:rsidRPr="00590CF5">
              <w:rPr>
                <w:rFonts w:ascii="Times New Roman" w:hAnsi="Times New Roman" w:cs="Times New Roman"/>
                <w:color w:val="222222"/>
                <w:sz w:val="19"/>
                <w:szCs w:val="19"/>
              </w:rPr>
              <w:t>2</w:t>
            </w:r>
            <w:r w:rsidR="31EEE40C" w:rsidRPr="00590CF5">
              <w:rPr>
                <w:rFonts w:ascii="Times New Roman" w:hAnsi="Times New Roman" w:cs="Times New Roman"/>
                <w:color w:val="222222"/>
                <w:sz w:val="19"/>
                <w:szCs w:val="19"/>
              </w:rPr>
              <w:t>68</w:t>
            </w:r>
          </w:p>
        </w:tc>
      </w:tr>
      <w:tr w:rsidR="00474F19" w:rsidRPr="006A7B63" w14:paraId="70696B4E" w14:textId="77777777" w:rsidTr="00381400">
        <w:tc>
          <w:tcPr>
            <w:tcW w:w="21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935D734"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EBIT</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18DD563"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$554</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94000C5" w14:textId="580E9470"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62</w:t>
            </w:r>
            <w:r w:rsidR="51ED8FCC" w:rsidRPr="00590CF5">
              <w:rPr>
                <w:rFonts w:ascii="Times New Roman" w:hAnsi="Times New Roman" w:cs="Times New Roman"/>
                <w:color w:val="222222"/>
                <w:sz w:val="19"/>
                <w:szCs w:val="19"/>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76A5C30" w14:textId="1653B4D9"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6</w:t>
            </w:r>
            <w:r w:rsidR="2D6CCCBB" w:rsidRPr="00590CF5">
              <w:rPr>
                <w:rFonts w:ascii="Times New Roman" w:hAnsi="Times New Roman" w:cs="Times New Roman"/>
                <w:color w:val="222222"/>
                <w:sz w:val="19"/>
                <w:szCs w:val="19"/>
              </w:rPr>
              <w:t>90</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65F5004" w14:textId="7465ED9C"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75</w:t>
            </w:r>
            <w:r w:rsidR="1BDB2420" w:rsidRPr="00590CF5">
              <w:rPr>
                <w:rFonts w:ascii="Times New Roman" w:hAnsi="Times New Roman" w:cs="Times New Roman"/>
                <w:color w:val="222222"/>
                <w:sz w:val="19"/>
                <w:szCs w:val="19"/>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18D743B" w14:textId="232D71FF"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8</w:t>
            </w:r>
            <w:r w:rsidR="0FA50E58" w:rsidRPr="00590CF5">
              <w:rPr>
                <w:rFonts w:ascii="Times New Roman" w:hAnsi="Times New Roman" w:cs="Times New Roman"/>
                <w:color w:val="222222"/>
                <w:sz w:val="19"/>
                <w:szCs w:val="19"/>
              </w:rPr>
              <w:t>62</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AB0DFEA" w14:textId="3A14ED7D"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9</w:t>
            </w:r>
            <w:r w:rsidR="053022D8" w:rsidRPr="00590CF5">
              <w:rPr>
                <w:rFonts w:ascii="Times New Roman" w:hAnsi="Times New Roman" w:cs="Times New Roman"/>
                <w:color w:val="222222"/>
                <w:sz w:val="19"/>
                <w:szCs w:val="19"/>
              </w:rPr>
              <w:t>55</w:t>
            </w:r>
          </w:p>
        </w:tc>
        <w:tc>
          <w:tcPr>
            <w:tcW w:w="10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E8ADDBD" w14:textId="6A66C3E2"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$1,</w:t>
            </w:r>
            <w:r w:rsidRPr="00590CF5">
              <w:rPr>
                <w:rFonts w:ascii="Times New Roman" w:hAnsi="Times New Roman" w:cs="Times New Roman"/>
                <w:color w:val="222222"/>
                <w:sz w:val="19"/>
                <w:szCs w:val="19"/>
              </w:rPr>
              <w:t>0</w:t>
            </w:r>
            <w:r w:rsidR="745ED32E" w:rsidRPr="00590CF5">
              <w:rPr>
                <w:rFonts w:ascii="Times New Roman" w:hAnsi="Times New Roman" w:cs="Times New Roman"/>
                <w:color w:val="222222"/>
                <w:sz w:val="19"/>
                <w:szCs w:val="19"/>
              </w:rPr>
              <w:t>28</w:t>
            </w:r>
          </w:p>
        </w:tc>
      </w:tr>
      <w:tr w:rsidR="00474F19" w:rsidRPr="006A7B63" w14:paraId="4F1C1398" w14:textId="77777777" w:rsidTr="00381400">
        <w:tc>
          <w:tcPr>
            <w:tcW w:w="2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74692C3"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Net Income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9790D3F" w14:textId="395D9E35"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4</w:t>
            </w:r>
            <w:r w:rsidR="44294BDF" w:rsidRPr="00590CF5">
              <w:rPr>
                <w:rFonts w:ascii="Times New Roman" w:hAnsi="Times New Roman" w:cs="Times New Roman"/>
                <w:color w:val="222222"/>
                <w:sz w:val="19"/>
                <w:szCs w:val="19"/>
              </w:rPr>
              <w:t>12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3FDEB87" w14:textId="1759E96A"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4</w:t>
            </w:r>
            <w:r w:rsidR="41613653" w:rsidRPr="00590CF5">
              <w:rPr>
                <w:rFonts w:ascii="Times New Roman" w:hAnsi="Times New Roman" w:cs="Times New Roman"/>
                <w:color w:val="222222"/>
                <w:sz w:val="19"/>
                <w:szCs w:val="19"/>
              </w:rPr>
              <w:t>63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F415204" w14:textId="6A95E857"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5</w:t>
            </w:r>
            <w:r w:rsidR="449E3757" w:rsidRPr="00590CF5">
              <w:rPr>
                <w:rFonts w:ascii="Times New Roman" w:hAnsi="Times New Roman" w:cs="Times New Roman"/>
                <w:color w:val="222222"/>
                <w:sz w:val="19"/>
                <w:szCs w:val="19"/>
              </w:rPr>
              <w:t>13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47F4313B" w14:textId="74B52384" w:rsidR="00474F19" w:rsidRPr="006A7B63" w:rsidRDefault="00474F19" w:rsidP="009D3D48">
            <w:pPr>
              <w:jc w:val="center"/>
              <w:rPr>
                <w:rFonts w:ascii="Times New Roman" w:hAnsi="Times New Roman" w:cs="Times New Roman"/>
                <w:color w:val="222222"/>
                <w:sz w:val="19"/>
                <w:szCs w:val="19"/>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5</w:t>
            </w:r>
            <w:r w:rsidR="4FED1A1A" w:rsidRPr="00590CF5">
              <w:rPr>
                <w:rFonts w:ascii="Times New Roman" w:hAnsi="Times New Roman" w:cs="Times New Roman"/>
                <w:color w:val="222222"/>
                <w:sz w:val="19"/>
                <w:szCs w:val="19"/>
              </w:rPr>
              <w:t>65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E116CBC" w14:textId="1AC7BFBE"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64</w:t>
            </w:r>
            <w:r w:rsidR="71A1934C" w:rsidRPr="00590CF5">
              <w:rPr>
                <w:rFonts w:ascii="Times New Roman" w:hAnsi="Times New Roman" w:cs="Times New Roman"/>
                <w:color w:val="222222"/>
                <w:sz w:val="19"/>
                <w:szCs w:val="19"/>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D85735C" w14:textId="56D85FE1"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71</w:t>
            </w:r>
            <w:r w:rsidR="39B43A4E" w:rsidRPr="00590CF5">
              <w:rPr>
                <w:rFonts w:ascii="Times New Roman" w:hAnsi="Times New Roman" w:cs="Times New Roman"/>
                <w:color w:val="222222"/>
                <w:sz w:val="19"/>
                <w:szCs w:val="19"/>
              </w:rPr>
              <w:t>1</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3A7956C" w14:textId="6633CEA2"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w:t>
            </w:r>
            <w:r w:rsidRPr="00590CF5">
              <w:rPr>
                <w:rFonts w:ascii="Times New Roman" w:hAnsi="Times New Roman" w:cs="Times New Roman"/>
                <w:color w:val="222222"/>
                <w:sz w:val="19"/>
                <w:szCs w:val="19"/>
              </w:rPr>
              <w:t>76</w:t>
            </w:r>
            <w:r w:rsidR="3BC4502C" w:rsidRPr="00590CF5">
              <w:rPr>
                <w:rFonts w:ascii="Times New Roman" w:hAnsi="Times New Roman" w:cs="Times New Roman"/>
                <w:color w:val="222222"/>
                <w:sz w:val="19"/>
                <w:szCs w:val="19"/>
              </w:rPr>
              <w:t>7</w:t>
            </w:r>
          </w:p>
        </w:tc>
      </w:tr>
      <w:tr w:rsidR="00474F19" w:rsidRPr="006A7B63" w14:paraId="6CF9C59B" w14:textId="77777777" w:rsidTr="00381400">
        <w:tc>
          <w:tcPr>
            <w:tcW w:w="21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3289360" w14:textId="77777777" w:rsidR="00474F19" w:rsidRPr="006A7B63" w:rsidRDefault="00474F19" w:rsidP="009D3D48">
            <w:pPr>
              <w:rPr>
                <w:rFonts w:ascii="Times New Roman" w:hAnsi="Times New Roman" w:cs="Times New Roman"/>
              </w:rPr>
            </w:pPr>
            <w:r w:rsidRPr="006A7B63">
              <w:rPr>
                <w:rFonts w:ascii="Times New Roman" w:hAnsi="Times New Roman" w:cs="Times New Roman"/>
                <w:b/>
                <w:bCs/>
                <w:color w:val="222222"/>
                <w:sz w:val="19"/>
                <w:szCs w:val="19"/>
              </w:rPr>
              <w:t>Net Margin</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6AA8598"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7.6%</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6D3E926"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8.3%</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AA40183"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8.9%</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0DAECF5"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9.5%</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9C16232"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10.5%</w:t>
            </w:r>
          </w:p>
        </w:tc>
        <w:tc>
          <w:tcPr>
            <w:tcW w:w="104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AE10749"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color w:val="222222"/>
                <w:sz w:val="19"/>
                <w:szCs w:val="19"/>
              </w:rPr>
              <w:t>11.2%</w:t>
            </w:r>
          </w:p>
        </w:tc>
        <w:tc>
          <w:tcPr>
            <w:tcW w:w="10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5E13D4E" w14:textId="77777777" w:rsidR="00474F19" w:rsidRPr="006A7B63" w:rsidRDefault="00474F19" w:rsidP="009D3D48">
            <w:pPr>
              <w:jc w:val="center"/>
              <w:rPr>
                <w:rFonts w:ascii="Times New Roman" w:hAnsi="Times New Roman" w:cs="Times New Roman"/>
              </w:rPr>
            </w:pPr>
            <w:r w:rsidRPr="006A7B63">
              <w:rPr>
                <w:rFonts w:ascii="Times New Roman" w:hAnsi="Times New Roman" w:cs="Times New Roman"/>
                <w:b/>
                <w:bCs/>
                <w:color w:val="1A6B2C"/>
                <w:sz w:val="19"/>
                <w:szCs w:val="19"/>
              </w:rPr>
              <w:t>11.7%</w:t>
            </w:r>
          </w:p>
        </w:tc>
      </w:tr>
    </w:tbl>
    <w:p w14:paraId="3CD9ABEC" w14:textId="77777777" w:rsidR="009D25D8" w:rsidRDefault="009D25D8" w:rsidP="05FA96B4">
      <w:pPr>
        <w:spacing w:after="70" w:line="280" w:lineRule="auto"/>
        <w:jc w:val="both"/>
        <w:rPr>
          <w:rFonts w:ascii="Times New Roman" w:hAnsi="Times New Roman" w:cs="Times New Roman"/>
          <w:color w:val="222222"/>
          <w:sz w:val="22"/>
          <w:szCs w:val="22"/>
        </w:rPr>
      </w:pPr>
    </w:p>
    <w:p w14:paraId="267686B2" w14:textId="581BEFEC" w:rsidR="00575E4C" w:rsidRDefault="00575E4C" w:rsidP="00590CF5">
      <w:pPr>
        <w:spacing w:after="70" w:line="280" w:lineRule="auto"/>
        <w:jc w:val="both"/>
        <w:rPr>
          <w:rFonts w:ascii="Times New Roman" w:hAnsi="Times New Roman" w:cs="Times New Roman"/>
          <w:sz w:val="22"/>
          <w:szCs w:val="22"/>
        </w:rPr>
      </w:pPr>
      <w:r w:rsidRPr="00590CF5">
        <w:rPr>
          <w:rFonts w:ascii="Times New Roman" w:hAnsi="Times New Roman" w:cs="Times New Roman"/>
          <w:color w:val="222222"/>
          <w:sz w:val="22"/>
          <w:szCs w:val="22"/>
        </w:rPr>
        <w:t>The forecast indicates that AEO’s revenue will grow from $5.49 billion in FY2025 to $6.53 billion by FY2031, representing a 19.0% overall increase. Profitability is also expected to see substantial gains, with gross margin rising from 41.0% to 45.0%, EBITDA almost doubling from $768 million to $1,247 million, and net margin increasing from 7.6% to 11.7%. This positive outlook aligns with management’s objectives and is supported by the disciplined cost-structure assumptions previously outlined.</w:t>
      </w:r>
      <w:r w:rsidR="1B6E2A60" w:rsidRPr="00590CF5">
        <w:rPr>
          <w:rFonts w:ascii="Times New Roman" w:hAnsi="Times New Roman" w:cs="Times New Roman"/>
          <w:color w:val="222222"/>
          <w:sz w:val="22"/>
          <w:szCs w:val="22"/>
        </w:rPr>
        <w:t xml:space="preserve"> </w:t>
      </w:r>
    </w:p>
    <w:p w14:paraId="73D54FBE" w14:textId="3D3F40B5" w:rsidR="537F39F7" w:rsidRDefault="537F39F7" w:rsidP="00590CF5">
      <w:pPr>
        <w:spacing w:after="70" w:line="280" w:lineRule="auto"/>
        <w:jc w:val="both"/>
      </w:pPr>
      <w:r w:rsidRPr="00590CF5">
        <w:rPr>
          <w:rFonts w:ascii="Times New Roman" w:eastAsia="Times New Roman" w:hAnsi="Times New Roman" w:cs="Times New Roman"/>
          <w:sz w:val="22"/>
          <w:szCs w:val="22"/>
        </w:rPr>
        <w:t>Balance sheet accounts were projected based on historical percentage relationships, and cash flows were computed from the income statement and changes in working capital and other balance sheet items.</w:t>
      </w:r>
    </w:p>
    <w:p w14:paraId="27288A3B" w14:textId="77777777" w:rsidR="00381400" w:rsidRDefault="00381400" w:rsidP="05FA96B4">
      <w:pPr>
        <w:pStyle w:val="Heading1"/>
        <w:pBdr>
          <w:bottom w:val="single" w:sz="6" w:space="4" w:color="1B3A6B"/>
        </w:pBdr>
        <w:spacing w:before="0"/>
        <w:jc w:val="both"/>
        <w:rPr>
          <w:rFonts w:ascii="Times New Roman" w:hAnsi="Times New Roman" w:cs="Times New Roman"/>
        </w:rPr>
      </w:pPr>
    </w:p>
    <w:p w14:paraId="0D9F957A" w14:textId="2A29F854" w:rsidR="00221C9E" w:rsidRPr="006A7B63" w:rsidRDefault="00221C9E" w:rsidP="05FA96B4">
      <w:pPr>
        <w:pStyle w:val="Heading1"/>
        <w:pBdr>
          <w:bottom w:val="single" w:sz="6" w:space="4" w:color="1B3A6B"/>
        </w:pBdr>
        <w:spacing w:before="0"/>
        <w:jc w:val="both"/>
        <w:rPr>
          <w:rFonts w:ascii="Times New Roman" w:hAnsi="Times New Roman" w:cs="Times New Roman"/>
        </w:rPr>
      </w:pPr>
      <w:r w:rsidRPr="006A7B63">
        <w:rPr>
          <w:rFonts w:ascii="Times New Roman" w:hAnsi="Times New Roman" w:cs="Times New Roman"/>
        </w:rPr>
        <w:t>6. Valuation</w:t>
      </w:r>
    </w:p>
    <w:p w14:paraId="3D0CCF01" w14:textId="4E2E7C41" w:rsidR="00221C9E" w:rsidRPr="00E55B85" w:rsidRDefault="002E0B6B" w:rsidP="05FA96B4">
      <w:pPr>
        <w:spacing w:after="70" w:line="280" w:lineRule="auto"/>
        <w:jc w:val="both"/>
        <w:rPr>
          <w:rFonts w:ascii="Times New Roman" w:hAnsi="Times New Roman" w:cs="Times New Roman"/>
          <w:sz w:val="22"/>
          <w:szCs w:val="22"/>
        </w:rPr>
      </w:pPr>
      <w:r w:rsidRPr="002E0B6B">
        <w:rPr>
          <w:rFonts w:ascii="Times New Roman" w:hAnsi="Times New Roman" w:cs="Times New Roman"/>
          <w:color w:val="222222"/>
          <w:sz w:val="22"/>
          <w:szCs w:val="22"/>
        </w:rPr>
        <w:t xml:space="preserve">Valuation was conducted using three methods: (1) a Dividend Discount Model (DDM), (2) the </w:t>
      </w:r>
      <w:proofErr w:type="spellStart"/>
      <w:r w:rsidRPr="002E0B6B">
        <w:rPr>
          <w:rFonts w:ascii="Times New Roman" w:hAnsi="Times New Roman" w:cs="Times New Roman"/>
          <w:color w:val="222222"/>
          <w:sz w:val="22"/>
          <w:szCs w:val="22"/>
        </w:rPr>
        <w:t>eVal</w:t>
      </w:r>
      <w:proofErr w:type="spellEnd"/>
      <w:r w:rsidRPr="002E0B6B">
        <w:rPr>
          <w:rFonts w:ascii="Times New Roman" w:hAnsi="Times New Roman" w:cs="Times New Roman"/>
          <w:color w:val="222222"/>
          <w:sz w:val="22"/>
          <w:szCs w:val="22"/>
        </w:rPr>
        <w:t xml:space="preserve"> Residual Income / DCF model, and (3) a composite relative valuation approach. The weights assigned to the relative valuation are 45% for DCF, 25% for EV/EBITDA, and 25% each for EV/EBIT, P/E ratios, and PEG ratio. All data for the valuation were sourced from the Valuation Homework 10 &amp; 11 spreadsheet.</w:t>
      </w:r>
    </w:p>
    <w:p w14:paraId="6DF31FBF" w14:textId="77777777" w:rsidR="00216386" w:rsidRDefault="00216386" w:rsidP="05FA96B4">
      <w:pPr>
        <w:pStyle w:val="Heading2"/>
        <w:spacing w:before="0"/>
        <w:jc w:val="both"/>
        <w:rPr>
          <w:rFonts w:ascii="Times New Roman" w:hAnsi="Times New Roman" w:cs="Times New Roman"/>
        </w:rPr>
      </w:pPr>
    </w:p>
    <w:p w14:paraId="160AB5FD" w14:textId="77777777" w:rsidR="00216386" w:rsidRDefault="00216386" w:rsidP="05FA96B4">
      <w:pPr>
        <w:pStyle w:val="Heading2"/>
        <w:spacing w:before="0"/>
        <w:jc w:val="both"/>
        <w:rPr>
          <w:rFonts w:ascii="Times New Roman" w:hAnsi="Times New Roman" w:cs="Times New Roman"/>
        </w:rPr>
      </w:pPr>
    </w:p>
    <w:p w14:paraId="1DA4F58E" w14:textId="77777777" w:rsidR="00216386" w:rsidRDefault="00216386" w:rsidP="05FA96B4">
      <w:pPr>
        <w:pStyle w:val="Heading2"/>
        <w:spacing w:before="0"/>
        <w:jc w:val="both"/>
        <w:rPr>
          <w:rFonts w:ascii="Times New Roman" w:hAnsi="Times New Roman" w:cs="Times New Roman"/>
        </w:rPr>
      </w:pPr>
    </w:p>
    <w:p w14:paraId="60B1EE12" w14:textId="77777777" w:rsidR="00216386" w:rsidRDefault="00216386" w:rsidP="05FA96B4">
      <w:pPr>
        <w:pStyle w:val="Heading2"/>
        <w:spacing w:before="0"/>
        <w:jc w:val="both"/>
        <w:rPr>
          <w:rFonts w:ascii="Times New Roman" w:hAnsi="Times New Roman" w:cs="Times New Roman"/>
        </w:rPr>
      </w:pPr>
    </w:p>
    <w:p w14:paraId="1C880BA8" w14:textId="77777777" w:rsidR="00216386" w:rsidRDefault="00216386" w:rsidP="05FA96B4">
      <w:pPr>
        <w:pStyle w:val="Heading2"/>
        <w:spacing w:before="0"/>
        <w:jc w:val="both"/>
        <w:rPr>
          <w:rFonts w:ascii="Times New Roman" w:hAnsi="Times New Roman" w:cs="Times New Roman"/>
        </w:rPr>
      </w:pPr>
    </w:p>
    <w:p w14:paraId="2737002E" w14:textId="77777777" w:rsidR="00216386" w:rsidRDefault="00216386" w:rsidP="05FA96B4">
      <w:pPr>
        <w:pStyle w:val="Heading2"/>
        <w:spacing w:before="0"/>
        <w:jc w:val="both"/>
        <w:rPr>
          <w:rFonts w:ascii="Times New Roman" w:hAnsi="Times New Roman" w:cs="Times New Roman"/>
        </w:rPr>
      </w:pPr>
    </w:p>
    <w:p w14:paraId="40F3C3F6" w14:textId="77777777" w:rsidR="00216386" w:rsidRDefault="00216386" w:rsidP="05FA96B4">
      <w:pPr>
        <w:pStyle w:val="Heading2"/>
        <w:spacing w:before="0"/>
        <w:jc w:val="both"/>
        <w:rPr>
          <w:rFonts w:ascii="Times New Roman" w:hAnsi="Times New Roman" w:cs="Times New Roman"/>
        </w:rPr>
      </w:pPr>
    </w:p>
    <w:p w14:paraId="4F47C8D5" w14:textId="77777777" w:rsidR="00216386" w:rsidRDefault="00216386" w:rsidP="05FA96B4">
      <w:pPr>
        <w:pStyle w:val="Heading2"/>
        <w:spacing w:before="0"/>
        <w:jc w:val="both"/>
        <w:rPr>
          <w:rFonts w:ascii="Times New Roman" w:hAnsi="Times New Roman" w:cs="Times New Roman"/>
        </w:rPr>
      </w:pPr>
    </w:p>
    <w:p w14:paraId="2F6E4064" w14:textId="2BC24DB4" w:rsidR="00221C9E" w:rsidRPr="006A7B63" w:rsidRDefault="00221C9E" w:rsidP="05FA96B4">
      <w:pPr>
        <w:pStyle w:val="Heading2"/>
        <w:spacing w:before="0"/>
        <w:jc w:val="both"/>
        <w:rPr>
          <w:rFonts w:ascii="Times New Roman" w:hAnsi="Times New Roman" w:cs="Times New Roman"/>
        </w:rPr>
      </w:pPr>
      <w:r w:rsidRPr="006A7B63">
        <w:rPr>
          <w:rFonts w:ascii="Times New Roman" w:hAnsi="Times New Roman" w:cs="Times New Roman"/>
        </w:rPr>
        <w:t>6.1 Valuation Method Weighting Rationale</w:t>
      </w:r>
    </w:p>
    <w:p w14:paraId="7F11B039" w14:textId="6DF9864F" w:rsidR="002E0B6B" w:rsidRPr="002E0B6B" w:rsidRDefault="00D64E16" w:rsidP="05FA96B4">
      <w:pPr>
        <w:spacing w:after="60" w:line="280" w:lineRule="auto"/>
        <w:jc w:val="both"/>
        <w:rPr>
          <w:rFonts w:ascii="Times New Roman" w:hAnsi="Times New Roman" w:cs="Times New Roman"/>
          <w:color w:val="222222"/>
          <w:sz w:val="22"/>
          <w:szCs w:val="22"/>
        </w:rPr>
      </w:pPr>
      <w:r w:rsidRPr="006A7B63">
        <w:rPr>
          <w:rFonts w:ascii="Times New Roman" w:hAnsi="Times New Roman" w:cs="Times New Roman"/>
          <w:noProof/>
        </w:rPr>
        <w:drawing>
          <wp:anchor distT="0" distB="0" distL="114300" distR="114300" simplePos="0" relativeHeight="251658244" behindDoc="1" locked="0" layoutInCell="1" allowOverlap="1" wp14:anchorId="7B762ADF" wp14:editId="642DBD91">
            <wp:simplePos x="0" y="0"/>
            <wp:positionH relativeFrom="column">
              <wp:posOffset>-10067</wp:posOffset>
            </wp:positionH>
            <wp:positionV relativeFrom="paragraph">
              <wp:posOffset>102870</wp:posOffset>
            </wp:positionV>
            <wp:extent cx="2548890" cy="2331805"/>
            <wp:effectExtent l="0" t="0" r="3810" b="5080"/>
            <wp:wrapTight wrapText="bothSides">
              <wp:wrapPolygon edited="0">
                <wp:start x="0" y="0"/>
                <wp:lineTo x="0" y="21529"/>
                <wp:lineTo x="21525" y="21529"/>
                <wp:lineTo x="21525" y="0"/>
                <wp:lineTo x="0" y="0"/>
              </wp:wrapPolygon>
            </wp:wrapTight>
            <wp:docPr id="421923310" name="Figure 6: Valuation Method Weighting (DCF 45% | EV/EBITDA 25% | EV/EBIT 10% | P/E 10% | PEG 10%)" descr="Figure 6: Valuation Method Weighting (DCF 45% | EV/EBITDA 25% | EV/EBIT 10% | P/E 10% | PEG 10%)" title="Figure 6: Valuation Method Weighting (DCF 45% | EV/EBITDA 25% | EV/EBIT 10% | P/E 10% | PE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8890" cy="2331805"/>
                    </a:xfrm>
                    <a:prstGeom prst="rect">
                      <a:avLst/>
                    </a:prstGeom>
                  </pic:spPr>
                </pic:pic>
              </a:graphicData>
            </a:graphic>
            <wp14:sizeRelH relativeFrom="page">
              <wp14:pctWidth>0</wp14:pctWidth>
            </wp14:sizeRelH>
            <wp14:sizeRelV relativeFrom="page">
              <wp14:pctHeight>0</wp14:pctHeight>
            </wp14:sizeRelV>
          </wp:anchor>
        </w:drawing>
      </w:r>
      <w:r w:rsidR="00B147BD" w:rsidRPr="002E0B6B">
        <w:rPr>
          <w:rFonts w:ascii="Times New Roman" w:hAnsi="Times New Roman" w:cs="Times New Roman"/>
          <w:color w:val="222222"/>
          <w:sz w:val="22"/>
          <w:szCs w:val="22"/>
        </w:rPr>
        <w:t>Six methods were used to estimate AEO’s intrinsic value: the Dividend Discount Model (DDM), Discounted Cash Flow (DCF), Enterprise Value-to-EBITDA (EV/EBITDA), Enterprise Value-to-EBIT (EV/EBIT), Price-to-Earnings (P/E) multiples, and the Price-to-Earnings-to-Growth (PEG) ratio. Each method was evaluated for its fit with AEO’s financial profile and then weighted accordingly. Cross-checking results across all methods confirmed internal consistency and reduced reliance on any single assumption.</w:t>
      </w:r>
    </w:p>
    <w:p w14:paraId="3B0E8E5F" w14:textId="77777777" w:rsidR="006356E2" w:rsidRPr="006356E2" w:rsidRDefault="006356E2" w:rsidP="05FA96B4">
      <w:pPr>
        <w:spacing w:after="70" w:line="280" w:lineRule="auto"/>
        <w:jc w:val="both"/>
        <w:rPr>
          <w:rFonts w:ascii="Times New Roman" w:hAnsi="Times New Roman" w:cs="Times New Roman"/>
          <w:b/>
          <w:bCs/>
          <w:color w:val="1B3A6B"/>
          <w:sz w:val="22"/>
          <w:szCs w:val="22"/>
        </w:rPr>
      </w:pPr>
      <w:r w:rsidRPr="006356E2">
        <w:rPr>
          <w:rFonts w:ascii="Times New Roman" w:hAnsi="Times New Roman" w:cs="Times New Roman"/>
          <w:b/>
          <w:bCs/>
          <w:color w:val="1B3A6B"/>
          <w:sz w:val="22"/>
          <w:szCs w:val="22"/>
        </w:rPr>
        <w:t>Dividend Discount Model (DDM) — Conservative Floor (Excluded)</w:t>
      </w:r>
    </w:p>
    <w:p w14:paraId="06F4BBD4" w14:textId="5A0D66EE" w:rsidR="006356E2" w:rsidRPr="006356E2" w:rsidRDefault="006356E2" w:rsidP="05FA96B4">
      <w:pPr>
        <w:spacing w:after="70" w:line="280" w:lineRule="auto"/>
        <w:jc w:val="both"/>
        <w:rPr>
          <w:rFonts w:ascii="Times New Roman" w:hAnsi="Times New Roman" w:cs="Times New Roman"/>
          <w:color w:val="000000" w:themeColor="text1"/>
          <w:sz w:val="22"/>
          <w:szCs w:val="22"/>
        </w:rPr>
      </w:pPr>
      <w:r w:rsidRPr="006356E2">
        <w:rPr>
          <w:rFonts w:ascii="Times New Roman" w:hAnsi="Times New Roman" w:cs="Times New Roman"/>
          <w:color w:val="000000" w:themeColor="text1"/>
          <w:sz w:val="22"/>
          <w:szCs w:val="22"/>
        </w:rPr>
        <w:t>The DDM estimates AEO's baseline value at $11.61, calculated using the latest dividend of $0.50, a growth rate of 9.197%, and a 13.9% cost of equity. Nonetheless, the model has notable limitations due to AEO's irregular dividend history, which includes suspensions during COVID, leading to skewed long-term growth estimates. Furthermore, the DDM does not account for shareholder returns from buybacks or reinvested earnings growth. Consequently, it is excluded from the main valuation and only serves as a conservative downside benchmark.</w:t>
      </w:r>
    </w:p>
    <w:p w14:paraId="75D67A4C" w14:textId="77777777" w:rsidR="006356E2" w:rsidRPr="006356E2" w:rsidRDefault="006356E2" w:rsidP="05FA96B4">
      <w:pPr>
        <w:spacing w:after="70" w:line="280" w:lineRule="auto"/>
        <w:jc w:val="both"/>
        <w:rPr>
          <w:rFonts w:ascii="Times New Roman" w:hAnsi="Times New Roman" w:cs="Times New Roman"/>
          <w:b/>
          <w:bCs/>
          <w:color w:val="1B3A6B"/>
          <w:sz w:val="22"/>
          <w:szCs w:val="22"/>
        </w:rPr>
      </w:pPr>
      <w:r w:rsidRPr="006356E2">
        <w:rPr>
          <w:rFonts w:ascii="Times New Roman" w:hAnsi="Times New Roman" w:cs="Times New Roman"/>
          <w:b/>
          <w:bCs/>
          <w:color w:val="1B3A6B"/>
          <w:sz w:val="22"/>
          <w:szCs w:val="22"/>
        </w:rPr>
        <w:t>Discounted Cash Flow (DCF) — 45% Weight</w:t>
      </w:r>
    </w:p>
    <w:p w14:paraId="719FA76F" w14:textId="347597D8" w:rsidR="006356E2" w:rsidRPr="006356E2" w:rsidRDefault="00B715CD" w:rsidP="05FA96B4">
      <w:pPr>
        <w:spacing w:after="70" w:line="280" w:lineRule="auto"/>
        <w:jc w:val="both"/>
        <w:rPr>
          <w:rFonts w:ascii="Times New Roman" w:hAnsi="Times New Roman" w:cs="Times New Roman"/>
          <w:color w:val="000000" w:themeColor="text1"/>
          <w:sz w:val="22"/>
          <w:szCs w:val="22"/>
        </w:rPr>
      </w:pPr>
      <w:r w:rsidRPr="00B715CD">
        <w:rPr>
          <w:rFonts w:ascii="Times New Roman" w:hAnsi="Times New Roman" w:cs="Times New Roman"/>
          <w:color w:val="000000" w:themeColor="text1"/>
          <w:sz w:val="22"/>
          <w:szCs w:val="22"/>
        </w:rPr>
        <w:t xml:space="preserve">DCF receives the highest weight because it offers the most thorough, company-specific valuation. Utilizing the </w:t>
      </w:r>
      <w:proofErr w:type="spellStart"/>
      <w:r w:rsidRPr="00B715CD">
        <w:rPr>
          <w:rFonts w:ascii="Times New Roman" w:hAnsi="Times New Roman" w:cs="Times New Roman"/>
          <w:color w:val="000000" w:themeColor="text1"/>
          <w:sz w:val="22"/>
          <w:szCs w:val="22"/>
        </w:rPr>
        <w:t>eVal</w:t>
      </w:r>
      <w:proofErr w:type="spellEnd"/>
      <w:r w:rsidRPr="00B715CD">
        <w:rPr>
          <w:rFonts w:ascii="Times New Roman" w:hAnsi="Times New Roman" w:cs="Times New Roman"/>
          <w:color w:val="000000" w:themeColor="text1"/>
          <w:sz w:val="22"/>
          <w:szCs w:val="22"/>
        </w:rPr>
        <w:t xml:space="preserve"> Residual Income framework, it forecasts AEO’s future cash flows based on approximately 3% revenue growth and improving profit margins, including gross margin expansion and cost reductions. Unlike market-based approaches, DCF is unaffected by short-term market sentiment and reflects an intrinsic value rooted in fundamentals. Considering AEO’s stable growth prospects, solid balance sheet, and absence of debt, DCF is viewed as the most dependable method for this assessment.</w:t>
      </w:r>
    </w:p>
    <w:p w14:paraId="14E733D4" w14:textId="77777777" w:rsidR="006356E2" w:rsidRPr="006356E2" w:rsidRDefault="006356E2" w:rsidP="05FA96B4">
      <w:pPr>
        <w:spacing w:after="70" w:line="280" w:lineRule="auto"/>
        <w:jc w:val="both"/>
        <w:rPr>
          <w:rFonts w:ascii="Times New Roman" w:hAnsi="Times New Roman" w:cs="Times New Roman"/>
          <w:b/>
          <w:bCs/>
          <w:color w:val="1B3A6B"/>
          <w:sz w:val="22"/>
          <w:szCs w:val="22"/>
        </w:rPr>
      </w:pPr>
      <w:r w:rsidRPr="006356E2">
        <w:rPr>
          <w:rFonts w:ascii="Times New Roman" w:hAnsi="Times New Roman" w:cs="Times New Roman"/>
          <w:b/>
          <w:bCs/>
          <w:color w:val="1B3A6B"/>
          <w:sz w:val="22"/>
          <w:szCs w:val="22"/>
        </w:rPr>
        <w:t>EV/EBITDA — 25% Weight</w:t>
      </w:r>
    </w:p>
    <w:p w14:paraId="0C094138" w14:textId="77777777" w:rsidR="00B715CD" w:rsidRDefault="00B715CD" w:rsidP="05FA96B4">
      <w:pPr>
        <w:spacing w:after="70" w:line="280" w:lineRule="auto"/>
        <w:jc w:val="both"/>
        <w:rPr>
          <w:rFonts w:ascii="Times New Roman" w:hAnsi="Times New Roman" w:cs="Times New Roman"/>
          <w:color w:val="000000" w:themeColor="text1"/>
          <w:sz w:val="22"/>
          <w:szCs w:val="22"/>
        </w:rPr>
      </w:pPr>
      <w:r w:rsidRPr="00B715CD">
        <w:rPr>
          <w:rFonts w:ascii="Times New Roman" w:hAnsi="Times New Roman" w:cs="Times New Roman"/>
          <w:color w:val="000000" w:themeColor="text1"/>
          <w:sz w:val="22"/>
          <w:szCs w:val="22"/>
        </w:rPr>
        <w:t>EV/EBITDA is an important market-based metric that allows for direct comparison between peers by excluding effects of capital structure and non-cash expenses. This proves especially useful when evaluating AEO against more leveraged competitors like Tapestry. Currently, AEO trades at 7.99x, compared to the sector median of 11.19x, suggesting a significant undervaluation. Since it reflects market valuation of operating cash flow, EV/EBITDA complements DCF analysis effectively and is assigned the second-highest weight.</w:t>
      </w:r>
    </w:p>
    <w:p w14:paraId="4248C1B0" w14:textId="049CBCF2" w:rsidR="006356E2" w:rsidRPr="006356E2" w:rsidRDefault="006356E2" w:rsidP="05FA96B4">
      <w:pPr>
        <w:spacing w:after="70" w:line="280" w:lineRule="auto"/>
        <w:jc w:val="both"/>
        <w:rPr>
          <w:rFonts w:ascii="Times New Roman" w:hAnsi="Times New Roman" w:cs="Times New Roman"/>
          <w:b/>
          <w:bCs/>
          <w:color w:val="1B3A6B"/>
          <w:sz w:val="22"/>
          <w:szCs w:val="22"/>
        </w:rPr>
      </w:pPr>
      <w:r w:rsidRPr="006356E2">
        <w:rPr>
          <w:rFonts w:ascii="Times New Roman" w:hAnsi="Times New Roman" w:cs="Times New Roman"/>
          <w:b/>
          <w:bCs/>
          <w:color w:val="1B3A6B"/>
          <w:sz w:val="22"/>
          <w:szCs w:val="22"/>
        </w:rPr>
        <w:t>EV/EBIT — 10% Weight</w:t>
      </w:r>
    </w:p>
    <w:p w14:paraId="0C2C3A14" w14:textId="7DC32E4C" w:rsidR="006356E2" w:rsidRPr="006356E2" w:rsidRDefault="00B715CD" w:rsidP="05FA96B4">
      <w:pPr>
        <w:spacing w:after="70" w:line="280" w:lineRule="auto"/>
        <w:jc w:val="both"/>
        <w:rPr>
          <w:rFonts w:ascii="Times New Roman" w:hAnsi="Times New Roman" w:cs="Times New Roman"/>
          <w:color w:val="000000" w:themeColor="text1"/>
          <w:sz w:val="22"/>
          <w:szCs w:val="22"/>
        </w:rPr>
      </w:pPr>
      <w:r w:rsidRPr="00B715CD">
        <w:rPr>
          <w:rFonts w:ascii="Times New Roman" w:hAnsi="Times New Roman" w:cs="Times New Roman"/>
          <w:color w:val="000000" w:themeColor="text1"/>
          <w:sz w:val="22"/>
          <w:szCs w:val="22"/>
        </w:rPr>
        <w:t>EV/EBIT incorporates depreciation and amortization, making it a more stringent indicator of operating profitability than EV/EBITDA. Since D&amp;A is relatively minor for AEO, both metrics generally follow similar trends. EV/EBIT mainly acts as a supplementary check to validate the valuation indicated by EV/EBITDA. With AEO’s EV/EBIT at 13.22x, below the sector median of 15.49x, it reinforces the undervaluation argument, supporting its use as a secondary metric.</w:t>
      </w:r>
    </w:p>
    <w:p w14:paraId="17BCD587" w14:textId="77777777" w:rsidR="006356E2" w:rsidRPr="006356E2" w:rsidRDefault="006356E2" w:rsidP="006356E2">
      <w:pPr>
        <w:spacing w:after="70" w:line="280" w:lineRule="auto"/>
        <w:jc w:val="both"/>
        <w:rPr>
          <w:rFonts w:ascii="Times New Roman" w:hAnsi="Times New Roman" w:cs="Times New Roman"/>
          <w:b/>
          <w:bCs/>
          <w:color w:val="1B3A6B"/>
          <w:sz w:val="22"/>
          <w:szCs w:val="22"/>
        </w:rPr>
      </w:pPr>
      <w:r w:rsidRPr="006356E2">
        <w:rPr>
          <w:rFonts w:ascii="Times New Roman" w:hAnsi="Times New Roman" w:cs="Times New Roman"/>
          <w:b/>
          <w:bCs/>
          <w:color w:val="1B3A6B"/>
          <w:sz w:val="22"/>
          <w:szCs w:val="22"/>
        </w:rPr>
        <w:t>P/E Multiples — 10% Weight</w:t>
      </w:r>
    </w:p>
    <w:p w14:paraId="53A9F390" w14:textId="3B2CD074" w:rsidR="006356E2" w:rsidRPr="006356E2" w:rsidRDefault="00E22F4D" w:rsidP="006356E2">
      <w:pPr>
        <w:spacing w:after="70" w:line="280" w:lineRule="auto"/>
        <w:jc w:val="both"/>
        <w:rPr>
          <w:rFonts w:ascii="Times New Roman" w:hAnsi="Times New Roman" w:cs="Times New Roman"/>
          <w:color w:val="000000" w:themeColor="text1"/>
          <w:sz w:val="22"/>
          <w:szCs w:val="22"/>
        </w:rPr>
      </w:pPr>
      <w:r w:rsidRPr="00E22F4D">
        <w:rPr>
          <w:rFonts w:ascii="Times New Roman" w:hAnsi="Times New Roman" w:cs="Times New Roman"/>
          <w:color w:val="000000" w:themeColor="text1"/>
          <w:sz w:val="22"/>
          <w:szCs w:val="22"/>
        </w:rPr>
        <w:t>The P/E ratio is a common valuation tool but can be influenced by short-term earnings changes and one-time events. AEO's recent earnings fluctuations may distort the P/E if not adjusted. When using FY2024 normalized earnings, AEO's P/E is 9.85x, compared to the sector median of 14.75x, suggesting it is undervalued. Due to its sensitivity, the P/E ratio is used carefully and given a moderate importance to provide market context without over-reliance.</w:t>
      </w:r>
    </w:p>
    <w:p w14:paraId="39F1B0BB" w14:textId="77777777" w:rsidR="006356E2" w:rsidRPr="006356E2" w:rsidRDefault="006356E2" w:rsidP="05FA96B4">
      <w:pPr>
        <w:spacing w:after="70" w:line="280" w:lineRule="auto"/>
        <w:jc w:val="both"/>
        <w:rPr>
          <w:rFonts w:ascii="Times New Roman" w:hAnsi="Times New Roman" w:cs="Times New Roman"/>
          <w:b/>
          <w:bCs/>
          <w:color w:val="1B3A6B"/>
          <w:sz w:val="22"/>
          <w:szCs w:val="22"/>
        </w:rPr>
      </w:pPr>
      <w:r w:rsidRPr="006356E2">
        <w:rPr>
          <w:rFonts w:ascii="Times New Roman" w:hAnsi="Times New Roman" w:cs="Times New Roman"/>
          <w:b/>
          <w:bCs/>
          <w:color w:val="1B3A6B"/>
          <w:sz w:val="22"/>
          <w:szCs w:val="22"/>
        </w:rPr>
        <w:t>PEG Ratio — 10% Weight</w:t>
      </w:r>
    </w:p>
    <w:p w14:paraId="0815D279" w14:textId="328EEA4D" w:rsidR="006356E2" w:rsidRPr="006356E2" w:rsidRDefault="00E22F4D" w:rsidP="05FA96B4">
      <w:pPr>
        <w:spacing w:after="70" w:line="280" w:lineRule="auto"/>
        <w:jc w:val="both"/>
        <w:rPr>
          <w:rFonts w:ascii="Times New Roman" w:hAnsi="Times New Roman" w:cs="Times New Roman"/>
          <w:color w:val="000000" w:themeColor="text1"/>
          <w:sz w:val="22"/>
          <w:szCs w:val="22"/>
        </w:rPr>
      </w:pPr>
      <w:r w:rsidRPr="00E22F4D">
        <w:rPr>
          <w:rFonts w:ascii="Times New Roman" w:hAnsi="Times New Roman" w:cs="Times New Roman"/>
          <w:color w:val="000000" w:themeColor="text1"/>
          <w:sz w:val="22"/>
          <w:szCs w:val="22"/>
        </w:rPr>
        <w:lastRenderedPageBreak/>
        <w:t>The PEG ratio modifies the P/E multiple based on anticipated earnings growth, offering a valuation view that emphasizes growth potential. AEO’s PEG of 1.23x, lower than the sector median of 1.42x, indicates it may be undervalued even after considering growth. However, because PEG is quite sensitive to changes in projected growth rates, it can fluctuate significantly. Thus, it is used as a supplementary metric with limited influence to balance its insights against possible uncertainties.</w:t>
      </w:r>
    </w:p>
    <w:p w14:paraId="1495079F" w14:textId="48BEC3C2" w:rsidR="00221C9E" w:rsidRPr="006A7B63" w:rsidRDefault="00045FBD" w:rsidP="05FA96B4">
      <w:pPr>
        <w:spacing w:after="70" w:line="280" w:lineRule="auto"/>
        <w:jc w:val="both"/>
        <w:rPr>
          <w:rFonts w:ascii="Times New Roman" w:hAnsi="Times New Roman" w:cs="Times New Roman"/>
        </w:rPr>
      </w:pPr>
      <w:r w:rsidRPr="00045FBD">
        <w:rPr>
          <w:rFonts w:ascii="Times New Roman" w:hAnsi="Times New Roman" w:cs="Times New Roman"/>
          <w:i/>
          <w:iCs/>
          <w:color w:val="444444"/>
          <w:sz w:val="19"/>
          <w:szCs w:val="19"/>
        </w:rPr>
        <w:t>The overall weighting prioritizes AEO’s fundamentals, with DCF at 45%, and the most trusted retail-sector benchmark, EV/EBITDA, at 25%. The remaining 30% is evenly split among three additional metrics. Each method individually suggests that AEO is undervalued compared to the sector and peers, supporting the BUY recommendation and the main 12-month target of $35.11.</w:t>
      </w:r>
    </w:p>
    <w:p w14:paraId="4DE00CFE" w14:textId="77777777" w:rsidR="00381400" w:rsidRDefault="00381400" w:rsidP="05FA96B4">
      <w:pPr>
        <w:pStyle w:val="Heading2"/>
        <w:spacing w:before="0"/>
        <w:rPr>
          <w:rFonts w:ascii="Times New Roman" w:hAnsi="Times New Roman" w:cs="Times New Roman"/>
        </w:rPr>
      </w:pPr>
    </w:p>
    <w:p w14:paraId="4BFCDB0C" w14:textId="3CDB8DEA" w:rsidR="00221C9E" w:rsidRPr="006A7B63" w:rsidRDefault="00221C9E" w:rsidP="05FA96B4">
      <w:pPr>
        <w:pStyle w:val="Heading2"/>
        <w:spacing w:before="0"/>
        <w:rPr>
          <w:rFonts w:ascii="Times New Roman" w:hAnsi="Times New Roman" w:cs="Times New Roman"/>
        </w:rPr>
      </w:pPr>
      <w:r w:rsidRPr="006A7B63">
        <w:rPr>
          <w:rFonts w:ascii="Times New Roman" w:hAnsi="Times New Roman" w:cs="Times New Roman"/>
        </w:rPr>
        <w:t>6.2 Dividend Discount Model (DDM)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1C9E" w:rsidRPr="006A7B63" w14:paraId="6BF94F03" w14:textId="77777777" w:rsidTr="009D3D48">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3E6C35B9"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DDM 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5855D64B"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700ADE26"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Source</w:t>
            </w:r>
          </w:p>
        </w:tc>
      </w:tr>
      <w:tr w:rsidR="00221C9E" w:rsidRPr="006A7B63" w14:paraId="20BBBC26" w14:textId="77777777" w:rsidTr="009D3D48">
        <w:tc>
          <w:tcPr>
            <w:tcW w:w="31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65925FE"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Most Recent Annual Dividend (D0)</w:t>
            </w:r>
          </w:p>
        </w:tc>
        <w:tc>
          <w:tcPr>
            <w:tcW w:w="31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5135D83"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$0.50 per share</w:t>
            </w:r>
          </w:p>
        </w:tc>
        <w:tc>
          <w:tcPr>
            <w:tcW w:w="31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2F73512" w14:textId="77777777" w:rsidR="00221C9E" w:rsidRPr="006A7B63" w:rsidRDefault="00221C9E" w:rsidP="009D3D48">
            <w:pPr>
              <w:rPr>
                <w:rFonts w:ascii="Times New Roman" w:hAnsi="Times New Roman" w:cs="Times New Roman"/>
              </w:rPr>
            </w:pPr>
            <w:r w:rsidRPr="006A7B63">
              <w:rPr>
                <w:rFonts w:ascii="Times New Roman" w:hAnsi="Times New Roman" w:cs="Times New Roman"/>
                <w:color w:val="222222"/>
                <w:sz w:val="19"/>
                <w:szCs w:val="19"/>
              </w:rPr>
              <w:t>AEO 2025 Annual Dividend</w:t>
            </w:r>
          </w:p>
        </w:tc>
      </w:tr>
      <w:tr w:rsidR="00221C9E" w:rsidRPr="006A7B63" w14:paraId="69678305" w14:textId="77777777" w:rsidTr="05FA96B4">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D2DB1A7"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Constant Growth Rate (g)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D05482F"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9.197%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EAEF7DD" w14:textId="77777777" w:rsidR="00221C9E" w:rsidRPr="006A7B63" w:rsidRDefault="00221C9E" w:rsidP="009D3D48">
            <w:pPr>
              <w:rPr>
                <w:rFonts w:ascii="Times New Roman" w:hAnsi="Times New Roman" w:cs="Times New Roman"/>
              </w:rPr>
            </w:pPr>
            <w:r w:rsidRPr="006A7B63">
              <w:rPr>
                <w:rFonts w:ascii="Times New Roman" w:hAnsi="Times New Roman" w:cs="Times New Roman"/>
                <w:color w:val="222222"/>
                <w:sz w:val="19"/>
                <w:szCs w:val="19"/>
              </w:rPr>
              <w:t>Avg of historical YoY growth rates (2004–2025)</w:t>
            </w:r>
          </w:p>
        </w:tc>
      </w:tr>
      <w:tr w:rsidR="00221C9E" w:rsidRPr="006A7B63" w14:paraId="3BB350EE" w14:textId="77777777" w:rsidTr="009D3D48">
        <w:tc>
          <w:tcPr>
            <w:tcW w:w="31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31A3753"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Cost of Equity / WACC (</w:t>
            </w:r>
            <w:proofErr w:type="spellStart"/>
            <w:r w:rsidRPr="006A7B63">
              <w:rPr>
                <w:rFonts w:ascii="Times New Roman" w:hAnsi="Times New Roman" w:cs="Times New Roman"/>
                <w:b/>
                <w:bCs/>
                <w:color w:val="222222"/>
                <w:sz w:val="19"/>
                <w:szCs w:val="19"/>
              </w:rPr>
              <w:t>ke</w:t>
            </w:r>
            <w:proofErr w:type="spellEnd"/>
            <w:r w:rsidRPr="006A7B63">
              <w:rPr>
                <w:rFonts w:ascii="Times New Roman" w:hAnsi="Times New Roman" w:cs="Times New Roman"/>
                <w:b/>
                <w:bCs/>
                <w:color w:val="222222"/>
                <w:sz w:val="19"/>
                <w:szCs w:val="19"/>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FC94331"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13.90%</w:t>
            </w:r>
          </w:p>
        </w:tc>
        <w:tc>
          <w:tcPr>
            <w:tcW w:w="312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723990D" w14:textId="77777777" w:rsidR="00221C9E" w:rsidRPr="006A7B63" w:rsidRDefault="00221C9E" w:rsidP="009D3D48">
            <w:pPr>
              <w:rPr>
                <w:rFonts w:ascii="Times New Roman" w:hAnsi="Times New Roman" w:cs="Times New Roman"/>
              </w:rPr>
            </w:pPr>
            <w:r w:rsidRPr="006A7B63">
              <w:rPr>
                <w:rFonts w:ascii="Times New Roman" w:hAnsi="Times New Roman" w:cs="Times New Roman"/>
                <w:color w:val="222222"/>
                <w:sz w:val="19"/>
                <w:szCs w:val="19"/>
              </w:rPr>
              <w:t>Valuation HW spreadsheet, WACC input</w:t>
            </w:r>
          </w:p>
        </w:tc>
      </w:tr>
      <w:tr w:rsidR="00221C9E" w:rsidRPr="006A7B63" w14:paraId="448D2158" w14:textId="77777777" w:rsidTr="05FA96B4">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9347FB1"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DDM P0 = D0×(1+g) / (</w:t>
            </w:r>
            <w:proofErr w:type="spellStart"/>
            <w:r w:rsidRPr="006A7B63">
              <w:rPr>
                <w:rFonts w:ascii="Times New Roman" w:hAnsi="Times New Roman" w:cs="Times New Roman"/>
                <w:b/>
                <w:bCs/>
                <w:color w:val="222222"/>
                <w:sz w:val="19"/>
                <w:szCs w:val="19"/>
              </w:rPr>
              <w:t>ke</w:t>
            </w:r>
            <w:proofErr w:type="spellEnd"/>
            <w:r w:rsidRPr="006A7B63">
              <w:rPr>
                <w:rFonts w:ascii="Times New Roman" w:hAnsi="Times New Roman" w:cs="Times New Roman"/>
                <w:b/>
                <w:bCs/>
                <w:color w:val="222222"/>
                <w:sz w:val="19"/>
                <w:szCs w:val="19"/>
              </w:rPr>
              <w:t>−g)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E13A336"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1A6B2C"/>
                <w:sz w:val="19"/>
                <w:szCs w:val="19"/>
              </w:rPr>
              <w:t>$11.61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2691665" w14:textId="77777777" w:rsidR="00221C9E" w:rsidRPr="006A7B63" w:rsidRDefault="00221C9E" w:rsidP="009D3D48">
            <w:pPr>
              <w:rPr>
                <w:rFonts w:ascii="Times New Roman" w:hAnsi="Times New Roman" w:cs="Times New Roman"/>
              </w:rPr>
            </w:pPr>
            <w:r w:rsidRPr="006A7B63">
              <w:rPr>
                <w:rFonts w:ascii="Times New Roman" w:hAnsi="Times New Roman" w:cs="Times New Roman"/>
                <w:color w:val="222222"/>
                <w:sz w:val="19"/>
                <w:szCs w:val="19"/>
              </w:rPr>
              <w:t>$0.50×1.09197 / (0.139−0.09197)</w:t>
            </w:r>
          </w:p>
        </w:tc>
      </w:tr>
    </w:tbl>
    <w:p w14:paraId="2744E051" w14:textId="5A15D2DC" w:rsidR="004A1908" w:rsidRDefault="004A1908" w:rsidP="05FA96B4">
      <w:pPr>
        <w:jc w:val="both"/>
        <w:rPr>
          <w:rFonts w:ascii="Times New Roman" w:hAnsi="Times New Roman" w:cs="Times New Roman"/>
          <w:color w:val="222222"/>
          <w:sz w:val="22"/>
          <w:szCs w:val="22"/>
        </w:rPr>
      </w:pPr>
      <w:r w:rsidRPr="004A1908">
        <w:rPr>
          <w:rFonts w:ascii="Times New Roman" w:hAnsi="Times New Roman" w:cs="Times New Roman"/>
          <w:color w:val="222222"/>
          <w:sz w:val="22"/>
          <w:szCs w:val="22"/>
        </w:rPr>
        <w:t>The DDM P0 of $11.61 is below the current stock price of $16.70, indicating the stock might be slightly overvalued based on dividends alone. However, the DDM has significant limitations for AEO: dividends were cut during the COVID years, and it only accounts for the dividend yield—not the much larger returns from share buybacks ($190M+ in FY2024) or earnings growth ($329M in FY2024, expected to reach $763M by FY2031). As a result, we view the DDM as a conservative baseline rather than the main valuation method.</w:t>
      </w:r>
    </w:p>
    <w:p w14:paraId="674700EC" w14:textId="77777777" w:rsidR="006356E2" w:rsidRPr="004A1908" w:rsidRDefault="006356E2" w:rsidP="05FA96B4">
      <w:pPr>
        <w:jc w:val="both"/>
        <w:rPr>
          <w:rFonts w:ascii="Times New Roman" w:hAnsi="Times New Roman" w:cs="Times New Roman"/>
          <w:color w:val="222222"/>
          <w:sz w:val="22"/>
          <w:szCs w:val="22"/>
        </w:rPr>
      </w:pPr>
    </w:p>
    <w:p w14:paraId="2C6011B7" w14:textId="44907974" w:rsidR="009D25D8" w:rsidRDefault="00221C9E" w:rsidP="05FA96B4">
      <w:pPr>
        <w:spacing w:after="50"/>
        <w:jc w:val="center"/>
        <w:rPr>
          <w:rFonts w:ascii="Times New Roman" w:hAnsi="Times New Roman" w:cs="Times New Roman"/>
        </w:rPr>
      </w:pPr>
      <w:r>
        <w:drawing>
          <wp:inline distT="0" distB="0" distL="0" distR="0" wp14:anchorId="62018420" wp14:editId="26D1D6A1">
            <wp:extent cx="4599599" cy="2318198"/>
            <wp:effectExtent l="0" t="0" r="0" b="6350"/>
            <wp:docPr id="60552433" name="Figure 7: AEO Historical Annual Dividends per Share (2004–2025) — Used for DDM Constant Growth Rate" descr="Figure 7: AEO Historical Annual Dividends per Share (2004–2025) — Used for DDM Constant Growth Rate" title="Figure 7: AEO Historical Annual Dividends per Share (2004–2025) — Used for DDM Constant Growth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23084" cy="2330034"/>
                    </a:xfrm>
                    <a:prstGeom prst="rect">
                      <a:avLst/>
                    </a:prstGeom>
                  </pic:spPr>
                </pic:pic>
              </a:graphicData>
            </a:graphic>
          </wp:inline>
        </w:drawing>
      </w:r>
    </w:p>
    <w:p w14:paraId="0EED82FB" w14:textId="77777777" w:rsidR="009D25D8" w:rsidRPr="009D25D8" w:rsidRDefault="009D25D8" w:rsidP="05FA96B4">
      <w:pPr>
        <w:spacing w:after="50"/>
        <w:jc w:val="center"/>
        <w:rPr>
          <w:rFonts w:ascii="Times New Roman" w:hAnsi="Times New Roman" w:cs="Times New Roman"/>
        </w:rPr>
      </w:pPr>
    </w:p>
    <w:p w14:paraId="34777C55" w14:textId="0B285992" w:rsidR="00221C9E" w:rsidRPr="006A7B63" w:rsidRDefault="00221C9E" w:rsidP="007B0A7C">
      <w:pPr>
        <w:spacing w:after="130"/>
        <w:rPr>
          <w:rFonts w:ascii="Times New Roman" w:hAnsi="Times New Roman" w:cs="Times New Roman"/>
        </w:rPr>
      </w:pPr>
      <w:r w:rsidRPr="006A7B63">
        <w:rPr>
          <w:rFonts w:ascii="Times New Roman" w:hAnsi="Times New Roman" w:cs="Times New Roman"/>
          <w:b/>
          <w:bCs/>
          <w:color w:val="2C5F8A"/>
          <w:sz w:val="24"/>
          <w:szCs w:val="24"/>
        </w:rPr>
        <w:t>6.3 Multi-Method Relative Valuation</w:t>
      </w:r>
    </w:p>
    <w:p w14:paraId="79A16F20" w14:textId="67D69A25" w:rsidR="009D25D8" w:rsidRDefault="00062A59" w:rsidP="05FA96B4">
      <w:pPr>
        <w:spacing w:after="70" w:line="280" w:lineRule="auto"/>
        <w:jc w:val="both"/>
        <w:rPr>
          <w:rFonts w:ascii="Times New Roman" w:hAnsi="Times New Roman" w:cs="Times New Roman"/>
          <w:color w:val="222222"/>
          <w:sz w:val="22"/>
          <w:szCs w:val="22"/>
        </w:rPr>
      </w:pPr>
      <w:r w:rsidRPr="00062A59">
        <w:rPr>
          <w:rFonts w:ascii="Times New Roman" w:hAnsi="Times New Roman" w:cs="Times New Roman"/>
          <w:color w:val="222222"/>
          <w:sz w:val="22"/>
          <w:szCs w:val="22"/>
        </w:rPr>
        <w:t>Using AEO’s FY2024 financial data, the figures were compared to sector medians and the averages of four competitors (PVH, Tapestry, ANF, URBN). Implied stock prices were derived for each method. The weighted average combines all five approaches, using the weights specified in the Explanation HW.</w:t>
      </w:r>
    </w:p>
    <w:p w14:paraId="3FE40C54" w14:textId="77777777" w:rsidR="00216386" w:rsidRDefault="00216386" w:rsidP="05FA96B4">
      <w:pPr>
        <w:spacing w:after="70" w:line="280" w:lineRule="auto"/>
        <w:jc w:val="both"/>
        <w:rPr>
          <w:rFonts w:ascii="Times New Roman" w:hAnsi="Times New Roman" w:cs="Times New Roman"/>
          <w:color w:val="222222"/>
          <w:sz w:val="22"/>
          <w:szCs w:val="22"/>
        </w:rPr>
      </w:pPr>
    </w:p>
    <w:p w14:paraId="31833788" w14:textId="77777777" w:rsidR="00216386" w:rsidRDefault="00216386" w:rsidP="05FA96B4">
      <w:pPr>
        <w:spacing w:after="70" w:line="280" w:lineRule="auto"/>
        <w:jc w:val="both"/>
        <w:rPr>
          <w:rFonts w:ascii="Times New Roman" w:hAnsi="Times New Roman" w:cs="Times New Roman"/>
          <w:color w:val="222222"/>
          <w:sz w:val="22"/>
          <w:szCs w:val="22"/>
        </w:rPr>
      </w:pPr>
    </w:p>
    <w:p w14:paraId="06749153" w14:textId="77777777" w:rsidR="00216386" w:rsidRDefault="00216386" w:rsidP="05FA96B4">
      <w:pPr>
        <w:spacing w:after="70" w:line="280" w:lineRule="auto"/>
        <w:jc w:val="both"/>
        <w:rPr>
          <w:rFonts w:ascii="Times New Roman" w:hAnsi="Times New Roman" w:cs="Times New Roman"/>
          <w:sz w:val="22"/>
          <w:szCs w:val="22"/>
        </w:rPr>
      </w:pPr>
    </w:p>
    <w:p w14:paraId="0DBDBFBD" w14:textId="77777777" w:rsidR="006356E2" w:rsidRDefault="006356E2" w:rsidP="05FA96B4">
      <w:pPr>
        <w:spacing w:after="70" w:line="280" w:lineRule="auto"/>
        <w:jc w:val="both"/>
        <w:rPr>
          <w:rFonts w:ascii="Times New Roman" w:hAnsi="Times New Roman" w:cs="Times New Roman"/>
          <w:sz w:val="22"/>
          <w:szCs w:val="22"/>
        </w:rPr>
      </w:pPr>
    </w:p>
    <w:p w14:paraId="25C28690" w14:textId="77777777" w:rsidR="00216386" w:rsidRDefault="00216386" w:rsidP="05FA96B4">
      <w:pPr>
        <w:spacing w:after="70" w:line="280" w:lineRule="auto"/>
        <w:jc w:val="both"/>
        <w:rPr>
          <w:rFonts w:ascii="Times New Roman" w:hAnsi="Times New Roman" w:cs="Times New Roman"/>
          <w:sz w:val="22"/>
          <w:szCs w:val="22"/>
        </w:rPr>
      </w:pPr>
    </w:p>
    <w:p w14:paraId="4DA08C36" w14:textId="77777777" w:rsidR="00216386" w:rsidRPr="006356E2" w:rsidRDefault="00216386" w:rsidP="05FA96B4">
      <w:pPr>
        <w:spacing w:after="70" w:line="280" w:lineRule="auto"/>
        <w:jc w:val="both"/>
        <w:rPr>
          <w:rFonts w:ascii="Times New Roman" w:hAnsi="Times New Roman" w:cs="Times New Roman"/>
          <w:sz w:val="22"/>
          <w:szCs w:val="22"/>
        </w:rPr>
      </w:pPr>
    </w:p>
    <w:tbl>
      <w:tblPr>
        <w:tblW w:w="936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39"/>
        <w:gridCol w:w="1173"/>
        <w:gridCol w:w="983"/>
        <w:gridCol w:w="1173"/>
        <w:gridCol w:w="983"/>
        <w:gridCol w:w="1025"/>
        <w:gridCol w:w="1184"/>
      </w:tblGrid>
      <w:tr w:rsidR="00221C9E" w:rsidRPr="006A7B63" w14:paraId="01383DD5" w14:textId="77777777" w:rsidTr="00216386">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3D10500D"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Method</w:t>
            </w:r>
          </w:p>
        </w:tc>
        <w:tc>
          <w:tcPr>
            <w:tcW w:w="93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35DBCA6E"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Weight</w:t>
            </w:r>
          </w:p>
        </w:tc>
        <w:tc>
          <w:tcPr>
            <w:tcW w:w="11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4BF1B148"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Today Sector Med.</w:t>
            </w:r>
          </w:p>
        </w:tc>
        <w:tc>
          <w:tcPr>
            <w:tcW w:w="98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122AF066"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Today Comp. Avg</w:t>
            </w:r>
          </w:p>
        </w:tc>
        <w:tc>
          <w:tcPr>
            <w:tcW w:w="11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14553959"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12-Mo Sector Med.</w:t>
            </w:r>
          </w:p>
        </w:tc>
        <w:tc>
          <w:tcPr>
            <w:tcW w:w="98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2485B8F7"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12-Mo Comp. Avg</w:t>
            </w:r>
          </w:p>
        </w:tc>
        <w:tc>
          <w:tcPr>
            <w:tcW w:w="102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3915A6F6"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AEO Multiple</w:t>
            </w:r>
          </w:p>
        </w:tc>
        <w:tc>
          <w:tcPr>
            <w:tcW w:w="1184"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0EB2ECEF"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Sector Median</w:t>
            </w:r>
          </w:p>
        </w:tc>
      </w:tr>
      <w:tr w:rsidR="00221C9E" w:rsidRPr="006A7B63" w14:paraId="4584C597" w14:textId="77777777" w:rsidTr="00216386">
        <w:tc>
          <w:tcPr>
            <w:tcW w:w="19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5A8BFE9"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DCF (</w:t>
            </w:r>
            <w:proofErr w:type="spellStart"/>
            <w:r w:rsidRPr="006A7B63">
              <w:rPr>
                <w:rFonts w:ascii="Times New Roman" w:hAnsi="Times New Roman" w:cs="Times New Roman"/>
                <w:b/>
                <w:bCs/>
                <w:color w:val="222222"/>
                <w:sz w:val="19"/>
                <w:szCs w:val="19"/>
              </w:rPr>
              <w:t>eVal</w:t>
            </w:r>
            <w:proofErr w:type="spellEnd"/>
            <w:r w:rsidRPr="006A7B63">
              <w:rPr>
                <w:rFonts w:ascii="Times New Roman" w:hAnsi="Times New Roman" w:cs="Times New Roman"/>
                <w:b/>
                <w:bCs/>
                <w:color w:val="222222"/>
                <w:sz w:val="19"/>
                <w:szCs w:val="19"/>
              </w:rPr>
              <w:t>)</w:t>
            </w:r>
          </w:p>
        </w:tc>
        <w:tc>
          <w:tcPr>
            <w:tcW w:w="93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5D73BF1"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45%</w:t>
            </w:r>
          </w:p>
        </w:tc>
        <w:tc>
          <w:tcPr>
            <w:tcW w:w="117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D2359E0"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$18.31</w:t>
            </w:r>
          </w:p>
        </w:tc>
        <w:tc>
          <w:tcPr>
            <w:tcW w:w="98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03BD199"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$18.31</w:t>
            </w:r>
          </w:p>
        </w:tc>
        <w:tc>
          <w:tcPr>
            <w:tcW w:w="117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1E4B1BA"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$20.86</w:t>
            </w:r>
          </w:p>
        </w:tc>
        <w:tc>
          <w:tcPr>
            <w:tcW w:w="98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D82E98F"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$20.86</w:t>
            </w:r>
          </w:p>
        </w:tc>
        <w:tc>
          <w:tcPr>
            <w:tcW w:w="1025"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2470D9C"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c>
          <w:tcPr>
            <w:tcW w:w="1184"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AE1DA68"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r>
      <w:tr w:rsidR="00221C9E" w:rsidRPr="006A7B63" w14:paraId="63767F50" w14:textId="77777777" w:rsidTr="00216386">
        <w:tc>
          <w:tcPr>
            <w:tcW w:w="1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19CFB5D"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EV/EBITDA</w:t>
            </w:r>
          </w:p>
        </w:tc>
        <w:tc>
          <w:tcPr>
            <w:tcW w:w="9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4E63D987"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25%</w:t>
            </w:r>
          </w:p>
        </w:tc>
        <w:tc>
          <w:tcPr>
            <w:tcW w:w="117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79CF977"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$39.85</w:t>
            </w:r>
          </w:p>
        </w:tc>
        <w:tc>
          <w:tcPr>
            <w:tcW w:w="9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C1B39E1"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$33.98</w:t>
            </w:r>
          </w:p>
        </w:tc>
        <w:tc>
          <w:tcPr>
            <w:tcW w:w="117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B881295"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$40.23</w:t>
            </w:r>
          </w:p>
        </w:tc>
        <w:tc>
          <w:tcPr>
            <w:tcW w:w="9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E3D8730"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$32.68</w:t>
            </w:r>
          </w:p>
        </w:tc>
        <w:tc>
          <w:tcPr>
            <w:tcW w:w="10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9782AF6"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7.99x</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214CFD9"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11.19x</w:t>
            </w:r>
          </w:p>
        </w:tc>
      </w:tr>
      <w:tr w:rsidR="00221C9E" w:rsidRPr="006A7B63" w14:paraId="6BF12817" w14:textId="77777777" w:rsidTr="00216386">
        <w:tc>
          <w:tcPr>
            <w:tcW w:w="19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3FF04D7"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EV/EBIT</w:t>
            </w:r>
          </w:p>
        </w:tc>
        <w:tc>
          <w:tcPr>
            <w:tcW w:w="93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96991B4"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10%</w:t>
            </w:r>
          </w:p>
        </w:tc>
        <w:tc>
          <w:tcPr>
            <w:tcW w:w="117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207B248"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$36.99</w:t>
            </w:r>
          </w:p>
        </w:tc>
        <w:tc>
          <w:tcPr>
            <w:tcW w:w="98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C4F52CA"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$27.31</w:t>
            </w:r>
          </w:p>
        </w:tc>
        <w:tc>
          <w:tcPr>
            <w:tcW w:w="117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A27F908"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$44.12</w:t>
            </w:r>
          </w:p>
        </w:tc>
        <w:tc>
          <w:tcPr>
            <w:tcW w:w="98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A898618"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$33.86</w:t>
            </w:r>
          </w:p>
        </w:tc>
        <w:tc>
          <w:tcPr>
            <w:tcW w:w="1025"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8EA068F"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13.22x</w:t>
            </w:r>
          </w:p>
        </w:tc>
        <w:tc>
          <w:tcPr>
            <w:tcW w:w="1184"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50A6C80"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15.49x</w:t>
            </w:r>
          </w:p>
        </w:tc>
      </w:tr>
      <w:tr w:rsidR="00221C9E" w:rsidRPr="006A7B63" w14:paraId="367DC038" w14:textId="77777777" w:rsidTr="00216386">
        <w:tc>
          <w:tcPr>
            <w:tcW w:w="1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D9BE009"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P/E Multiples</w:t>
            </w:r>
          </w:p>
        </w:tc>
        <w:tc>
          <w:tcPr>
            <w:tcW w:w="9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FEE7F79"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10%</w:t>
            </w:r>
          </w:p>
        </w:tc>
        <w:tc>
          <w:tcPr>
            <w:tcW w:w="117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B9D4CB9"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$17.58</w:t>
            </w:r>
          </w:p>
        </w:tc>
        <w:tc>
          <w:tcPr>
            <w:tcW w:w="9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C955A81"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$53.12</w:t>
            </w:r>
          </w:p>
        </w:tc>
        <w:tc>
          <w:tcPr>
            <w:tcW w:w="117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8BDE618"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$36.13</w:t>
            </w:r>
          </w:p>
        </w:tc>
        <w:tc>
          <w:tcPr>
            <w:tcW w:w="9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83121C0"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$27.35</w:t>
            </w:r>
          </w:p>
        </w:tc>
        <w:tc>
          <w:tcPr>
            <w:tcW w:w="10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FE8A654"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9.85x</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4B41CDB7"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14.75x</w:t>
            </w:r>
          </w:p>
        </w:tc>
      </w:tr>
      <w:tr w:rsidR="00221C9E" w:rsidRPr="006A7B63" w14:paraId="1971057F" w14:textId="77777777" w:rsidTr="00216386">
        <w:tc>
          <w:tcPr>
            <w:tcW w:w="19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143FCEA"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PEG Ratio</w:t>
            </w:r>
          </w:p>
        </w:tc>
        <w:tc>
          <w:tcPr>
            <w:tcW w:w="93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84A44F1"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10%</w:t>
            </w:r>
          </w:p>
        </w:tc>
        <w:tc>
          <w:tcPr>
            <w:tcW w:w="117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443CAA2"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$41.31</w:t>
            </w:r>
          </w:p>
        </w:tc>
        <w:tc>
          <w:tcPr>
            <w:tcW w:w="98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7C19712"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$36.48</w:t>
            </w:r>
          </w:p>
        </w:tc>
        <w:tc>
          <w:tcPr>
            <w:tcW w:w="117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8CD6ECB"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$86.92</w:t>
            </w:r>
          </w:p>
        </w:tc>
        <w:tc>
          <w:tcPr>
            <w:tcW w:w="98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C20591C"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$62.13</w:t>
            </w:r>
          </w:p>
        </w:tc>
        <w:tc>
          <w:tcPr>
            <w:tcW w:w="1025"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0074835"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1.23x</w:t>
            </w:r>
          </w:p>
        </w:tc>
        <w:tc>
          <w:tcPr>
            <w:tcW w:w="1184"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26A0C91"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1.42x</w:t>
            </w:r>
          </w:p>
        </w:tc>
      </w:tr>
      <w:tr w:rsidR="00221C9E" w:rsidRPr="006A7B63" w14:paraId="7E25CA3E" w14:textId="77777777" w:rsidTr="00216386">
        <w:tc>
          <w:tcPr>
            <w:tcW w:w="1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FECA56A"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Weighted Average</w:t>
            </w:r>
          </w:p>
        </w:tc>
        <w:tc>
          <w:tcPr>
            <w:tcW w:w="9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492A9E6"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100%</w:t>
            </w:r>
          </w:p>
        </w:tc>
        <w:tc>
          <w:tcPr>
            <w:tcW w:w="117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98CC6F5"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1A6B2C"/>
                <w:sz w:val="19"/>
                <w:szCs w:val="19"/>
              </w:rPr>
              <w:t>$27.79</w:t>
            </w:r>
          </w:p>
        </w:tc>
        <w:tc>
          <w:tcPr>
            <w:tcW w:w="9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48B955C8"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$28.43</w:t>
            </w:r>
          </w:p>
        </w:tc>
        <w:tc>
          <w:tcPr>
            <w:tcW w:w="117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91CBD04"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1A6B2C"/>
                <w:sz w:val="19"/>
                <w:szCs w:val="19"/>
              </w:rPr>
              <w:t>$35.11</w:t>
            </w:r>
          </w:p>
        </w:tc>
        <w:tc>
          <w:tcPr>
            <w:tcW w:w="9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2E8BF063"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$28.85</w:t>
            </w:r>
          </w:p>
        </w:tc>
        <w:tc>
          <w:tcPr>
            <w:tcW w:w="102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4991C6B4"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880BED4"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r>
      <w:tr w:rsidR="00221C9E" w:rsidRPr="006A7B63" w14:paraId="4D8A19C3" w14:textId="77777777" w:rsidTr="00216386">
        <w:tc>
          <w:tcPr>
            <w:tcW w:w="19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ACC96B3"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Analyst Average</w:t>
            </w:r>
          </w:p>
        </w:tc>
        <w:tc>
          <w:tcPr>
            <w:tcW w:w="939"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5BE1356"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c>
          <w:tcPr>
            <w:tcW w:w="117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7F8C0EE"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c>
          <w:tcPr>
            <w:tcW w:w="98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D0E3983"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c>
          <w:tcPr>
            <w:tcW w:w="117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5C12245"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1A6B2C"/>
                <w:sz w:val="19"/>
                <w:szCs w:val="19"/>
              </w:rPr>
              <w:t>$35.00</w:t>
            </w:r>
          </w:p>
        </w:tc>
        <w:tc>
          <w:tcPr>
            <w:tcW w:w="983"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D4C7614"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$35.00</w:t>
            </w:r>
          </w:p>
        </w:tc>
        <w:tc>
          <w:tcPr>
            <w:tcW w:w="1025"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95A9BE7"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c>
          <w:tcPr>
            <w:tcW w:w="1184"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41BE76D"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r>
    </w:tbl>
    <w:p w14:paraId="460B2D86" w14:textId="7C60B5E1" w:rsidR="00221C9E" w:rsidRPr="006A7B63" w:rsidRDefault="00221C9E" w:rsidP="05FA96B4">
      <w:pPr>
        <w:rPr>
          <w:rFonts w:ascii="Times New Roman" w:hAnsi="Times New Roman" w:cs="Times New Roman"/>
        </w:rPr>
      </w:pPr>
    </w:p>
    <w:p w14:paraId="35DE45CC" w14:textId="7484936E" w:rsidR="00221C9E" w:rsidRPr="006A7B63" w:rsidRDefault="0067097A" w:rsidP="05FA96B4">
      <w:pPr>
        <w:spacing w:after="50"/>
        <w:jc w:val="center"/>
        <w:rPr>
          <w:rFonts w:ascii="Times New Roman" w:hAnsi="Times New Roman" w:cs="Times New Roman"/>
        </w:rPr>
      </w:pPr>
      <w:r>
        <w:drawing>
          <wp:inline distT="0" distB="0" distL="0" distR="0" wp14:anchorId="1DFD6CA5" wp14:editId="3C50A9AA">
            <wp:extent cx="4195484" cy="2097742"/>
            <wp:effectExtent l="0" t="0" r="0" b="0"/>
            <wp:docPr id="959008097" name="Figure 8: Today’s Implied Price by Valuation Method (Weights: DCF 45% | EV/EBITDA 25% | EV/EBIT 10% | P/E 10% | PEG 10%)" descr="Figure 8: Today’s Implied Price by Valuation Method (Weights: DCF 45% | EV/EBITDA 25% | EV/EBIT 10% | P/E 10% | PEG 10%)" title="Figure 8: Today’s Implied Price by Valuation Method (Weights: DCF 45% | EV/EBITDA 25% | EV/EBIT 10% | P/E 10% | PE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5484" cy="2097742"/>
                    </a:xfrm>
                    <a:prstGeom prst="rect">
                      <a:avLst/>
                    </a:prstGeom>
                  </pic:spPr>
                </pic:pic>
              </a:graphicData>
            </a:graphic>
          </wp:inline>
        </w:drawing>
      </w:r>
    </w:p>
    <w:p w14:paraId="2B286DF7" w14:textId="21351258" w:rsidR="00221C9E" w:rsidRPr="006A7B63" w:rsidRDefault="00221C9E" w:rsidP="00221C9E">
      <w:pPr>
        <w:spacing w:after="130"/>
        <w:jc w:val="center"/>
        <w:rPr>
          <w:rFonts w:ascii="Times New Roman" w:hAnsi="Times New Roman" w:cs="Times New Roman"/>
        </w:rPr>
      </w:pPr>
      <w:r w:rsidRPr="006A7B63">
        <w:rPr>
          <w:rFonts w:ascii="Times New Roman" w:hAnsi="Times New Roman" w:cs="Times New Roman"/>
          <w:i/>
          <w:iCs/>
          <w:color w:val="666666"/>
          <w:sz w:val="17"/>
          <w:szCs w:val="17"/>
        </w:rPr>
        <w:t>Figure 8: Today’s Implied Price by Valuation Method (Weights: DCF 45% | EV/EBITDA 25% | EV/EBIT 10% | P/E 10% | PEG 10%)</w:t>
      </w:r>
    </w:p>
    <w:p w14:paraId="490F61D0" w14:textId="05F19D88" w:rsidR="00221C9E" w:rsidRPr="006A7B63" w:rsidRDefault="00221C9E" w:rsidP="05FA96B4">
      <w:pPr>
        <w:spacing w:after="50"/>
        <w:jc w:val="center"/>
        <w:rPr>
          <w:rFonts w:ascii="Times New Roman" w:hAnsi="Times New Roman" w:cs="Times New Roman"/>
        </w:rPr>
      </w:pPr>
      <w:r>
        <w:drawing>
          <wp:inline distT="0" distB="0" distL="0" distR="0" wp14:anchorId="40652ADA" wp14:editId="0961AD96">
            <wp:extent cx="4303058" cy="2151529"/>
            <wp:effectExtent l="0" t="0" r="2540" b="0"/>
            <wp:docPr id="555814281" name="Figure 9: 12-Month Target Price by Valuation Method vs. Current Price ($16.70)" descr="Figure 9: 12-Month Target Price by Valuation Method vs. Current Price ($16.70)" title="Figure 9: 12-Month Target Price by Valuation Method vs. Current Price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03058" cy="2151529"/>
                    </a:xfrm>
                    <a:prstGeom prst="rect">
                      <a:avLst/>
                    </a:prstGeom>
                  </pic:spPr>
                </pic:pic>
              </a:graphicData>
            </a:graphic>
          </wp:inline>
        </w:drawing>
      </w:r>
    </w:p>
    <w:p w14:paraId="6E285488" w14:textId="3D56999E" w:rsidR="00221C9E" w:rsidRDefault="00221C9E" w:rsidP="00221C9E">
      <w:pPr>
        <w:spacing w:after="130"/>
        <w:jc w:val="center"/>
        <w:rPr>
          <w:rFonts w:ascii="Times New Roman" w:hAnsi="Times New Roman" w:cs="Times New Roman"/>
          <w:i/>
          <w:iCs/>
          <w:color w:val="666666"/>
          <w:sz w:val="17"/>
          <w:szCs w:val="17"/>
        </w:rPr>
      </w:pPr>
      <w:r w:rsidRPr="006A7B63">
        <w:rPr>
          <w:rFonts w:ascii="Times New Roman" w:hAnsi="Times New Roman" w:cs="Times New Roman"/>
          <w:i/>
          <w:iCs/>
          <w:color w:val="666666"/>
          <w:sz w:val="17"/>
          <w:szCs w:val="17"/>
        </w:rPr>
        <w:t>Figure 9: 12-Month Target Price by Valuation Method vs. Current Price ($16.70)</w:t>
      </w:r>
    </w:p>
    <w:p w14:paraId="430FA9E9" w14:textId="77777777" w:rsidR="00216386" w:rsidRDefault="00216386" w:rsidP="00216386">
      <w:pPr>
        <w:spacing w:after="130"/>
        <w:rPr>
          <w:rFonts w:ascii="Times New Roman" w:hAnsi="Times New Roman" w:cs="Times New Roman"/>
          <w:i/>
          <w:iCs/>
          <w:color w:val="666666"/>
          <w:sz w:val="17"/>
          <w:szCs w:val="17"/>
        </w:rPr>
      </w:pPr>
    </w:p>
    <w:p w14:paraId="7E19AC23" w14:textId="77777777" w:rsidR="00216386" w:rsidRDefault="00216386" w:rsidP="00216386">
      <w:pPr>
        <w:spacing w:after="130"/>
        <w:rPr>
          <w:rFonts w:ascii="Times New Roman" w:hAnsi="Times New Roman" w:cs="Times New Roman"/>
          <w:i/>
          <w:iCs/>
          <w:color w:val="666666"/>
          <w:sz w:val="17"/>
          <w:szCs w:val="17"/>
        </w:rPr>
      </w:pPr>
    </w:p>
    <w:p w14:paraId="71818B99" w14:textId="77777777" w:rsidR="00216386" w:rsidRDefault="00216386" w:rsidP="00216386">
      <w:pPr>
        <w:spacing w:after="130"/>
        <w:rPr>
          <w:rFonts w:ascii="Times New Roman" w:hAnsi="Times New Roman" w:cs="Times New Roman"/>
          <w:i/>
          <w:iCs/>
          <w:color w:val="666666"/>
          <w:sz w:val="17"/>
          <w:szCs w:val="17"/>
        </w:rPr>
      </w:pPr>
    </w:p>
    <w:p w14:paraId="3F967C6A" w14:textId="77777777" w:rsidR="00216386" w:rsidRDefault="00216386" w:rsidP="00216386">
      <w:pPr>
        <w:spacing w:after="130"/>
        <w:rPr>
          <w:rFonts w:ascii="Times New Roman" w:hAnsi="Times New Roman" w:cs="Times New Roman"/>
          <w:i/>
          <w:iCs/>
          <w:color w:val="666666"/>
          <w:sz w:val="17"/>
          <w:szCs w:val="17"/>
        </w:rPr>
      </w:pPr>
    </w:p>
    <w:p w14:paraId="4100C8B5" w14:textId="77777777" w:rsidR="00216386" w:rsidRDefault="00216386" w:rsidP="00216386">
      <w:pPr>
        <w:spacing w:after="130"/>
        <w:rPr>
          <w:rFonts w:ascii="Times New Roman" w:hAnsi="Times New Roman" w:cs="Times New Roman"/>
          <w:i/>
          <w:iCs/>
          <w:color w:val="666666"/>
          <w:sz w:val="17"/>
          <w:szCs w:val="17"/>
        </w:rPr>
      </w:pPr>
    </w:p>
    <w:p w14:paraId="3A0CD69C" w14:textId="77777777" w:rsidR="00216386" w:rsidRDefault="00216386" w:rsidP="00216386">
      <w:pPr>
        <w:spacing w:after="130"/>
        <w:rPr>
          <w:rFonts w:ascii="Times New Roman" w:hAnsi="Times New Roman" w:cs="Times New Roman"/>
          <w:i/>
          <w:iCs/>
          <w:color w:val="666666"/>
          <w:sz w:val="17"/>
          <w:szCs w:val="17"/>
        </w:rPr>
      </w:pPr>
    </w:p>
    <w:p w14:paraId="10EBE046" w14:textId="77777777" w:rsidR="00216386" w:rsidRDefault="00216386" w:rsidP="00216386">
      <w:pPr>
        <w:spacing w:after="130"/>
        <w:rPr>
          <w:rFonts w:ascii="Times New Roman" w:hAnsi="Times New Roman" w:cs="Times New Roman"/>
          <w:i/>
          <w:iCs/>
          <w:color w:val="666666"/>
          <w:sz w:val="17"/>
          <w:szCs w:val="17"/>
        </w:rPr>
      </w:pPr>
    </w:p>
    <w:p w14:paraId="255AFC03" w14:textId="77777777" w:rsidR="00216386" w:rsidRPr="006A7B63" w:rsidRDefault="00216386" w:rsidP="00216386">
      <w:pPr>
        <w:spacing w:after="130"/>
        <w:rPr>
          <w:rFonts w:ascii="Times New Roman" w:hAnsi="Times New Roman" w:cs="Times New Roman"/>
        </w:rPr>
      </w:pPr>
    </w:p>
    <w:p w14:paraId="7F340D48" w14:textId="77777777" w:rsidR="00216386" w:rsidRDefault="00216386" w:rsidP="05FA96B4">
      <w:pPr>
        <w:spacing w:after="50"/>
        <w:jc w:val="center"/>
        <w:rPr>
          <w:rFonts w:ascii="Times New Roman" w:hAnsi="Times New Roman" w:cs="Times New Roman"/>
        </w:rPr>
      </w:pPr>
    </w:p>
    <w:p w14:paraId="1C3FDBCC" w14:textId="37024698" w:rsidR="00221C9E" w:rsidRPr="006A7B63" w:rsidRDefault="00221C9E" w:rsidP="05FA96B4">
      <w:pPr>
        <w:spacing w:after="50"/>
        <w:jc w:val="center"/>
        <w:rPr>
          <w:rFonts w:ascii="Times New Roman" w:hAnsi="Times New Roman" w:cs="Times New Roman"/>
        </w:rPr>
      </w:pPr>
      <w:r>
        <w:drawing>
          <wp:inline distT="0" distB="0" distL="0" distR="0" wp14:anchorId="50A04322" wp14:editId="1BE24AF6">
            <wp:extent cx="3886200" cy="1891773"/>
            <wp:effectExtent l="0" t="0" r="0" b="635"/>
            <wp:docPr id="1618152966" name="Figure 10: AEO vs. Sector Median — AEO Trades at a Discount Across All Metrics" descr="Figure 10: AEO vs. Sector Median — AEO Trades at a Discount Across All Metrics" title="Figure 10: AEO vs. Sector Median — AEO Trades at a Discount Across Al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86200" cy="1891773"/>
                    </a:xfrm>
                    <a:prstGeom prst="rect">
                      <a:avLst/>
                    </a:prstGeom>
                  </pic:spPr>
                </pic:pic>
              </a:graphicData>
            </a:graphic>
          </wp:inline>
        </w:drawing>
      </w:r>
    </w:p>
    <w:p w14:paraId="58DFD449" w14:textId="007EE6FA" w:rsidR="00221C9E" w:rsidRPr="006A7B63" w:rsidRDefault="00221C9E" w:rsidP="00221C9E">
      <w:pPr>
        <w:spacing w:after="130"/>
        <w:jc w:val="center"/>
        <w:rPr>
          <w:rFonts w:ascii="Times New Roman" w:hAnsi="Times New Roman" w:cs="Times New Roman"/>
        </w:rPr>
      </w:pPr>
      <w:r w:rsidRPr="006A7B63">
        <w:rPr>
          <w:rFonts w:ascii="Times New Roman" w:hAnsi="Times New Roman" w:cs="Times New Roman"/>
          <w:i/>
          <w:iCs/>
          <w:color w:val="666666"/>
          <w:sz w:val="17"/>
          <w:szCs w:val="17"/>
        </w:rPr>
        <w:t>Figure 10: AEO vs. Sector Median — AEO Trades at a Discount Across All Metrics</w:t>
      </w:r>
    </w:p>
    <w:p w14:paraId="1DDFD0AF" w14:textId="357FBCE8" w:rsidR="00221C9E" w:rsidRPr="006A7B63" w:rsidRDefault="00221C9E" w:rsidP="05FA96B4">
      <w:pPr>
        <w:spacing w:after="50"/>
        <w:jc w:val="center"/>
        <w:rPr>
          <w:rFonts w:ascii="Times New Roman" w:hAnsi="Times New Roman" w:cs="Times New Roman"/>
        </w:rPr>
      </w:pPr>
      <w:r>
        <w:drawing>
          <wp:inline distT="0" distB="0" distL="0" distR="0" wp14:anchorId="36803218" wp14:editId="6636D7D3">
            <wp:extent cx="3987800" cy="1971328"/>
            <wp:effectExtent l="0" t="0" r="0" b="0"/>
            <wp:docPr id="2127657057" name="Figure 11: Valuation Summary — All Methods vs. Current Market Price ($16.70)" descr="Figure 11: Valuation Summary — All Methods vs. Current Market Price ($16.70)" title="Figure 11: Valuation Summary — All Methods vs. Current Market Price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34285" cy="1994307"/>
                    </a:xfrm>
                    <a:prstGeom prst="rect">
                      <a:avLst/>
                    </a:prstGeom>
                  </pic:spPr>
                </pic:pic>
              </a:graphicData>
            </a:graphic>
          </wp:inline>
        </w:drawing>
      </w:r>
    </w:p>
    <w:p w14:paraId="2E558D16" w14:textId="6EE14259" w:rsidR="00221C9E" w:rsidRPr="006A7B63" w:rsidRDefault="00221C9E" w:rsidP="00221C9E">
      <w:pPr>
        <w:spacing w:after="130"/>
        <w:jc w:val="center"/>
        <w:rPr>
          <w:rFonts w:ascii="Times New Roman" w:hAnsi="Times New Roman" w:cs="Times New Roman"/>
        </w:rPr>
      </w:pPr>
      <w:r w:rsidRPr="006A7B63">
        <w:rPr>
          <w:rFonts w:ascii="Times New Roman" w:hAnsi="Times New Roman" w:cs="Times New Roman"/>
          <w:i/>
          <w:iCs/>
          <w:color w:val="666666"/>
          <w:sz w:val="17"/>
          <w:szCs w:val="17"/>
        </w:rPr>
        <w:t>Figure 11: Valuation Summary — All Methods vs. Current Market Price ($16.70)</w:t>
      </w:r>
    </w:p>
    <w:p w14:paraId="231251B9" w14:textId="125289E6" w:rsidR="00221C9E" w:rsidRPr="006A7B63" w:rsidRDefault="00221C9E" w:rsidP="05FA96B4">
      <w:pPr>
        <w:pStyle w:val="Heading2"/>
        <w:spacing w:before="0"/>
        <w:rPr>
          <w:rFonts w:ascii="Times New Roman" w:hAnsi="Times New Roman" w:cs="Times New Roman"/>
        </w:rPr>
      </w:pPr>
      <w:r w:rsidRPr="006A7B63">
        <w:rPr>
          <w:rFonts w:ascii="Times New Roman" w:hAnsi="Times New Roman" w:cs="Times New Roman"/>
        </w:rPr>
        <w:t>6.4 Valuation Synthesis</w:t>
      </w:r>
    </w:p>
    <w:p w14:paraId="10D5D9B0" w14:textId="7B865221" w:rsidR="00221C9E" w:rsidRPr="006A7B63" w:rsidRDefault="00221C9E" w:rsidP="05FA96B4">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221C9E" w:rsidRPr="006A7B63" w14:paraId="5EE34F70" w14:textId="77777777" w:rsidTr="009D3D48">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770CE03E"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Method/Scenario</w:t>
            </w:r>
          </w:p>
        </w:tc>
        <w:tc>
          <w:tcPr>
            <w:tcW w:w="30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4403AA47"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Implied Value (Today)</w:t>
            </w:r>
          </w:p>
        </w:tc>
        <w:tc>
          <w:tcPr>
            <w:tcW w:w="30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5BA83417" w14:textId="77777777" w:rsidR="00221C9E" w:rsidRPr="006A7B63" w:rsidRDefault="00221C9E" w:rsidP="009D3D48">
            <w:pPr>
              <w:jc w:val="center"/>
              <w:rPr>
                <w:rFonts w:ascii="Times New Roman" w:hAnsi="Times New Roman" w:cs="Times New Roman"/>
              </w:rPr>
            </w:pPr>
            <w:r w:rsidRPr="05FA96B4">
              <w:rPr>
                <w:rFonts w:ascii="Times New Roman" w:hAnsi="Times New Roman" w:cs="Times New Roman"/>
                <w:b/>
                <w:color w:val="FFFFFF" w:themeColor="background1"/>
                <w:sz w:val="19"/>
                <w:szCs w:val="19"/>
              </w:rPr>
              <w:t>12-Month Target</w:t>
            </w:r>
          </w:p>
        </w:tc>
      </w:tr>
      <w:tr w:rsidR="00221C9E" w:rsidRPr="006A7B63" w14:paraId="1B719664" w14:textId="77777777" w:rsidTr="009D3D48">
        <w:tc>
          <w:tcPr>
            <w:tcW w:w="32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16B69E8"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DDM (P0) — dividend-only floor</w:t>
            </w:r>
          </w:p>
        </w:tc>
        <w:tc>
          <w:tcPr>
            <w:tcW w:w="30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0CACA8A"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B03020"/>
                <w:sz w:val="19"/>
                <w:szCs w:val="19"/>
              </w:rPr>
              <w:t>$11.61</w:t>
            </w:r>
          </w:p>
        </w:tc>
        <w:tc>
          <w:tcPr>
            <w:tcW w:w="30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EC8E122"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r>
      <w:tr w:rsidR="00221C9E" w:rsidRPr="006A7B63" w14:paraId="4A4A9590" w14:textId="77777777" w:rsidTr="05FA96B4">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FA34747"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DCF (</w:t>
            </w:r>
            <w:proofErr w:type="spellStart"/>
            <w:r w:rsidRPr="006A7B63">
              <w:rPr>
                <w:rFonts w:ascii="Times New Roman" w:hAnsi="Times New Roman" w:cs="Times New Roman"/>
                <w:b/>
                <w:bCs/>
                <w:color w:val="222222"/>
                <w:sz w:val="19"/>
                <w:szCs w:val="19"/>
              </w:rPr>
              <w:t>eVal</w:t>
            </w:r>
            <w:proofErr w:type="spellEnd"/>
            <w:r w:rsidRPr="006A7B63">
              <w:rPr>
                <w:rFonts w:ascii="Times New Roman" w:hAnsi="Times New Roman" w:cs="Times New Roman"/>
                <w:b/>
                <w:bCs/>
                <w:color w:val="222222"/>
                <w:sz w:val="19"/>
                <w:szCs w:val="19"/>
              </w:rPr>
              <w:t xml:space="preserve"> Residual Income)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5F25D89"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$18.31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DFB3C72"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$20.86</w:t>
            </w:r>
          </w:p>
        </w:tc>
      </w:tr>
      <w:tr w:rsidR="00221C9E" w:rsidRPr="006A7B63" w14:paraId="73472B28" w14:textId="77777777" w:rsidTr="009D3D48">
        <w:tc>
          <w:tcPr>
            <w:tcW w:w="32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A589F56"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Weighted Average — Sector Median</w:t>
            </w:r>
          </w:p>
        </w:tc>
        <w:tc>
          <w:tcPr>
            <w:tcW w:w="30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4E580E8"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$27.79</w:t>
            </w:r>
          </w:p>
        </w:tc>
        <w:tc>
          <w:tcPr>
            <w:tcW w:w="30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38F15E2"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1A6B2C"/>
                <w:sz w:val="19"/>
                <w:szCs w:val="19"/>
              </w:rPr>
              <w:t>$35.11</w:t>
            </w:r>
          </w:p>
        </w:tc>
      </w:tr>
      <w:tr w:rsidR="00221C9E" w:rsidRPr="006A7B63" w14:paraId="3D6145E3" w14:textId="77777777" w:rsidTr="05FA96B4">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C4F963F"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Weighted Average — Competitor Avg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44393F9"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$28.43</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F90B44A"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$28.85</w:t>
            </w:r>
          </w:p>
        </w:tc>
      </w:tr>
      <w:tr w:rsidR="00221C9E" w:rsidRPr="006A7B63" w14:paraId="111A55AD" w14:textId="77777777" w:rsidTr="009D3D48">
        <w:tc>
          <w:tcPr>
            <w:tcW w:w="320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7C2E87C"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Analyst Consensus Average</w:t>
            </w:r>
          </w:p>
        </w:tc>
        <w:tc>
          <w:tcPr>
            <w:tcW w:w="30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B5DC0C6"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c>
          <w:tcPr>
            <w:tcW w:w="30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6B96312"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1A6B2C"/>
                <w:sz w:val="19"/>
                <w:szCs w:val="19"/>
              </w:rPr>
              <w:t>$35.00</w:t>
            </w:r>
          </w:p>
        </w:tc>
      </w:tr>
      <w:tr w:rsidR="00221C9E" w:rsidRPr="006A7B63" w14:paraId="2B3468CE" w14:textId="77777777" w:rsidTr="05FA96B4">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3A5580CD" w14:textId="77777777" w:rsidR="00221C9E" w:rsidRPr="006A7B63" w:rsidRDefault="00221C9E" w:rsidP="009D3D48">
            <w:pPr>
              <w:rPr>
                <w:rFonts w:ascii="Times New Roman" w:hAnsi="Times New Roman" w:cs="Times New Roman"/>
              </w:rPr>
            </w:pPr>
            <w:r w:rsidRPr="006A7B63">
              <w:rPr>
                <w:rFonts w:ascii="Times New Roman" w:hAnsi="Times New Roman" w:cs="Times New Roman"/>
                <w:b/>
                <w:bCs/>
                <w:color w:val="222222"/>
                <w:sz w:val="19"/>
                <w:szCs w:val="19"/>
              </w:rPr>
              <w:t>Current Market Price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D3AFFBA"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b/>
                <w:bCs/>
                <w:color w:val="222222"/>
                <w:sz w:val="19"/>
                <w:szCs w:val="19"/>
              </w:rPr>
              <w:t>$16.70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5B7178CE" w14:textId="77777777" w:rsidR="00221C9E" w:rsidRPr="006A7B63" w:rsidRDefault="00221C9E" w:rsidP="009D3D48">
            <w:pPr>
              <w:jc w:val="center"/>
              <w:rPr>
                <w:rFonts w:ascii="Times New Roman" w:hAnsi="Times New Roman" w:cs="Times New Roman"/>
              </w:rPr>
            </w:pPr>
            <w:r w:rsidRPr="006A7B63">
              <w:rPr>
                <w:rFonts w:ascii="Times New Roman" w:hAnsi="Times New Roman" w:cs="Times New Roman"/>
                <w:color w:val="222222"/>
                <w:sz w:val="19"/>
                <w:szCs w:val="19"/>
              </w:rPr>
              <w:t>—</w:t>
            </w:r>
          </w:p>
        </w:tc>
      </w:tr>
    </w:tbl>
    <w:p w14:paraId="14A564E1" w14:textId="77777777" w:rsidR="00221C9E" w:rsidRPr="006A7B63" w:rsidRDefault="00221C9E" w:rsidP="05FA96B4">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1C9E" w:rsidRPr="006A7B63" w14:paraId="6CEEABC0" w14:textId="77777777" w:rsidTr="009D3D48">
        <w:tc>
          <w:tcPr>
            <w:tcW w:w="9360" w:type="dxa"/>
            <w:tcBorders>
              <w:top w:val="single" w:sz="3" w:space="0" w:color="1B3A6B"/>
              <w:left w:val="thick" w:sz="14" w:space="0" w:color="1B3A6B"/>
              <w:bottom w:val="single" w:sz="3" w:space="0" w:color="1B3A6B"/>
              <w:right w:val="single" w:sz="3" w:space="0" w:color="1B3A6B"/>
            </w:tcBorders>
            <w:shd w:val="clear" w:color="auto" w:fill="EBF4F8"/>
            <w:tcMar>
              <w:top w:w="110" w:type="dxa"/>
              <w:left w:w="180" w:type="dxa"/>
              <w:bottom w:w="110" w:type="dxa"/>
              <w:right w:w="180" w:type="dxa"/>
            </w:tcMar>
          </w:tcPr>
          <w:p w14:paraId="281BCE80" w14:textId="77777777" w:rsidR="00221C9E" w:rsidRPr="006A7B63" w:rsidRDefault="00221C9E" w:rsidP="009D3D48">
            <w:pPr>
              <w:spacing w:after="50"/>
              <w:rPr>
                <w:rFonts w:ascii="Times New Roman" w:hAnsi="Times New Roman" w:cs="Times New Roman"/>
              </w:rPr>
            </w:pPr>
            <w:r w:rsidRPr="006A7B63">
              <w:rPr>
                <w:rFonts w:ascii="Times New Roman" w:hAnsi="Times New Roman" w:cs="Times New Roman"/>
                <w:b/>
                <w:bCs/>
                <w:color w:val="1B3A6B"/>
              </w:rPr>
              <w:t>Primary 12-Month Target: $35.11 (Sector Median, +110.2% upside)</w:t>
            </w:r>
          </w:p>
          <w:p w14:paraId="4DCDD845" w14:textId="77777777" w:rsidR="00221C9E" w:rsidRPr="006A7B63" w:rsidRDefault="00221C9E" w:rsidP="009D3D48">
            <w:pPr>
              <w:rPr>
                <w:rFonts w:ascii="Times New Roman" w:hAnsi="Times New Roman" w:cs="Times New Roman"/>
              </w:rPr>
            </w:pPr>
            <w:r w:rsidRPr="006A7B63">
              <w:rPr>
                <w:rFonts w:ascii="Times New Roman" w:hAnsi="Times New Roman" w:cs="Times New Roman"/>
                <w:color w:val="333333"/>
                <w:sz w:val="20"/>
                <w:szCs w:val="20"/>
              </w:rPr>
              <w:t>The weighted average 12-month sector median target of $35.11 is the primary valuation output, combining DCF (45%), EV/EBITDA (25%), EV/EBIT (10%), P/E (10%), and PEG (10%). The analyst consensus of $35.00 independently validates this target. Today’s weighted target of $27.79 (sector median) already implies +66.4% upside from the current price of $16.70, supporting the BUY thesis even on a near-term basis.</w:t>
            </w:r>
          </w:p>
        </w:tc>
      </w:tr>
    </w:tbl>
    <w:p w14:paraId="0F4ABE9B" w14:textId="77777777" w:rsidR="00381400" w:rsidRDefault="00381400" w:rsidP="05FA96B4">
      <w:pPr>
        <w:pStyle w:val="Heading1"/>
        <w:pBdr>
          <w:bottom w:val="single" w:sz="6" w:space="4" w:color="1B3A6B"/>
        </w:pBdr>
        <w:spacing w:before="0"/>
        <w:rPr>
          <w:rFonts w:ascii="Times New Roman" w:hAnsi="Times New Roman" w:cs="Times New Roman"/>
        </w:rPr>
      </w:pPr>
    </w:p>
    <w:p w14:paraId="081D8631" w14:textId="275F54F3" w:rsidR="008B6E95" w:rsidRPr="006A7B63" w:rsidRDefault="008B6E95" w:rsidP="05FA96B4">
      <w:pPr>
        <w:pStyle w:val="Heading1"/>
        <w:pBdr>
          <w:bottom w:val="single" w:sz="6" w:space="4" w:color="1B3A6B"/>
        </w:pBdr>
        <w:spacing w:before="0"/>
        <w:rPr>
          <w:rFonts w:ascii="Times New Roman" w:hAnsi="Times New Roman" w:cs="Times New Roman"/>
        </w:rPr>
      </w:pPr>
      <w:r w:rsidRPr="006A7B63">
        <w:rPr>
          <w:rFonts w:ascii="Times New Roman" w:hAnsi="Times New Roman" w:cs="Times New Roman"/>
        </w:rPr>
        <w:t>7. Conclusion</w:t>
      </w:r>
    </w:p>
    <w:p w14:paraId="12F4E9C0" w14:textId="3CBD4A51" w:rsidR="008B6E95" w:rsidRPr="006A7B63" w:rsidRDefault="008B6E95" w:rsidP="05FA96B4">
      <w:pPr>
        <w:spacing w:after="70" w:line="280" w:lineRule="auto"/>
        <w:rPr>
          <w:rFonts w:ascii="Times New Roman" w:hAnsi="Times New Roman" w:cs="Times New Roman"/>
        </w:rPr>
      </w:pPr>
      <w:r w:rsidRPr="006A7B63">
        <w:rPr>
          <w:rFonts w:ascii="Times New Roman" w:hAnsi="Times New Roman" w:cs="Times New Roman"/>
          <w:color w:val="222222"/>
        </w:rPr>
        <w:t xml:space="preserve">After </w:t>
      </w:r>
      <w:r w:rsidR="00381400">
        <w:rPr>
          <w:rFonts w:ascii="Times New Roman" w:hAnsi="Times New Roman" w:cs="Times New Roman"/>
          <w:color w:val="222222"/>
        </w:rPr>
        <w:t xml:space="preserve">a </w:t>
      </w:r>
      <w:r w:rsidRPr="006A7B63">
        <w:rPr>
          <w:rFonts w:ascii="Times New Roman" w:hAnsi="Times New Roman" w:cs="Times New Roman"/>
          <w:color w:val="222222"/>
        </w:rPr>
        <w:t xml:space="preserve">comprehensive analysis of AEO’s historical financials (FY2020–FY2024), a 7-year forward forecast (FY2025–FY2031), industry dynamics, peer benchmarking, and our five-method weighted valuation, we maintain our BUY </w:t>
      </w:r>
      <w:r w:rsidRPr="006A7B63">
        <w:rPr>
          <w:rFonts w:ascii="Times New Roman" w:hAnsi="Times New Roman" w:cs="Times New Roman"/>
          <w:color w:val="222222"/>
        </w:rPr>
        <w:lastRenderedPageBreak/>
        <w:t>recommendation with a primary 12-month target of $35.11 (sector median), representing +110.2% upside from the current market price of $16.70. The analyst consensus of $35.00 independently corroborates this target.</w:t>
      </w:r>
    </w:p>
    <w:p w14:paraId="58B81708" w14:textId="77777777" w:rsidR="008B6E95" w:rsidRPr="006A7B63" w:rsidRDefault="008B6E95" w:rsidP="05FA96B4">
      <w:pPr>
        <w:pStyle w:val="Heading2"/>
        <w:spacing w:before="0"/>
        <w:rPr>
          <w:rFonts w:ascii="Times New Roman" w:hAnsi="Times New Roman" w:cs="Times New Roman"/>
        </w:rPr>
      </w:pPr>
      <w:r w:rsidRPr="006A7B63">
        <w:rPr>
          <w:rFonts w:ascii="Times New Roman" w:hAnsi="Times New Roman" w:cs="Times New Roman"/>
        </w:rPr>
        <w:t>Three Core Investment Reasons</w:t>
      </w:r>
    </w:p>
    <w:p w14:paraId="29587529" w14:textId="77777777" w:rsidR="008B6E95" w:rsidRPr="006A7B63" w:rsidRDefault="008B6E95" w:rsidP="05FA96B4">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8B6E95" w:rsidRPr="006A7B63" w14:paraId="551571AE" w14:textId="77777777" w:rsidTr="00590CF5">
        <w:tc>
          <w:tcPr>
            <w:tcW w:w="48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3A6B"/>
            <w:tcMar>
              <w:top w:w="120" w:type="dxa"/>
              <w:left w:w="80" w:type="dxa"/>
              <w:bottom w:w="120" w:type="dxa"/>
              <w:right w:w="80" w:type="dxa"/>
            </w:tcMar>
            <w:vAlign w:val="center"/>
          </w:tcPr>
          <w:p w14:paraId="419364E9" w14:textId="77777777" w:rsidR="008B6E95" w:rsidRPr="006A7B63" w:rsidRDefault="008B6E95" w:rsidP="009D3D48">
            <w:pPr>
              <w:jc w:val="center"/>
              <w:rPr>
                <w:rFonts w:ascii="Times New Roman" w:hAnsi="Times New Roman" w:cs="Times New Roman"/>
              </w:rPr>
            </w:pPr>
            <w:r w:rsidRPr="05FA96B4">
              <w:rPr>
                <w:rFonts w:ascii="Times New Roman" w:hAnsi="Times New Roman" w:cs="Times New Roman"/>
                <w:b/>
                <w:color w:val="FFFFFF" w:themeColor="background1"/>
                <w:sz w:val="28"/>
                <w:szCs w:val="28"/>
              </w:rPr>
              <w:t>1</w:t>
            </w:r>
          </w:p>
        </w:tc>
        <w:tc>
          <w:tcPr>
            <w:tcW w:w="8880" w:type="dxa"/>
            <w:tcBorders>
              <w:top w:val="single" w:sz="1" w:space="0" w:color="CCCCCC"/>
              <w:left w:val="none" w:sz="0" w:space="0" w:color="FFFFFF" w:themeColor="background1"/>
              <w:bottom w:val="single" w:sz="1" w:space="0" w:color="CCCCCC"/>
              <w:right w:val="single" w:sz="1" w:space="0" w:color="CCCCCC"/>
            </w:tcBorders>
            <w:shd w:val="clear" w:color="auto" w:fill="EDF2F8"/>
            <w:tcMar>
              <w:top w:w="100" w:type="dxa"/>
              <w:left w:w="160" w:type="dxa"/>
              <w:bottom w:w="100" w:type="dxa"/>
              <w:right w:w="160" w:type="dxa"/>
            </w:tcMar>
          </w:tcPr>
          <w:p w14:paraId="4E930F44" w14:textId="77777777" w:rsidR="008B6E95" w:rsidRPr="006A7B63" w:rsidRDefault="008B6E95" w:rsidP="009D3D48">
            <w:pPr>
              <w:spacing w:after="50"/>
              <w:rPr>
                <w:rFonts w:ascii="Times New Roman" w:hAnsi="Times New Roman" w:cs="Times New Roman"/>
              </w:rPr>
            </w:pPr>
            <w:r w:rsidRPr="006A7B63">
              <w:rPr>
                <w:rFonts w:ascii="Times New Roman" w:hAnsi="Times New Roman" w:cs="Times New Roman"/>
                <w:b/>
                <w:bCs/>
                <w:color w:val="1B3A6B"/>
                <w:sz w:val="22"/>
                <w:szCs w:val="22"/>
              </w:rPr>
              <w:t>Revenue Growth Supported by Strong Market Tailwinds</w:t>
            </w:r>
          </w:p>
          <w:p w14:paraId="7ABD8E9F" w14:textId="73C40730" w:rsidR="008B6E95" w:rsidRPr="006A7B63" w:rsidRDefault="008B6E95" w:rsidP="009D3D48">
            <w:pPr>
              <w:rPr>
                <w:rFonts w:ascii="Times New Roman" w:hAnsi="Times New Roman" w:cs="Times New Roman"/>
              </w:rPr>
            </w:pPr>
            <w:r w:rsidRPr="006A7B63">
              <w:rPr>
                <w:rFonts w:ascii="Times New Roman" w:hAnsi="Times New Roman" w:cs="Times New Roman"/>
                <w:sz w:val="20"/>
                <w:szCs w:val="20"/>
              </w:rPr>
              <w:t xml:space="preserve">AEO’s revenue is projected to grow from $5.33B (FY2024) to $6.53B by FY2031, driven by three powerful industry tailwinds that are structural not cyclical. First, U.S. apparel e-commerce penetration has risen from 27% (2019) to over 43% (2024) and is projected to approach 47% by 2026, and AEO reported double-digit digital growth in FY2024. Second, the global athleisure market is expanding from $306B (2021) toward an estimated $492B by 2027 (+61%), directly benefiting Aerie’s OFFLINE activewear sub-brand. Third, the U.S. specialty apparel retail market is growing at ~3% annually precisely the growth rate embedded in the </w:t>
            </w:r>
            <w:proofErr w:type="spellStart"/>
            <w:r w:rsidRPr="006A7B63">
              <w:rPr>
                <w:rFonts w:ascii="Times New Roman" w:hAnsi="Times New Roman" w:cs="Times New Roman"/>
                <w:sz w:val="20"/>
                <w:szCs w:val="20"/>
              </w:rPr>
              <w:t>eVal</w:t>
            </w:r>
            <w:proofErr w:type="spellEnd"/>
            <w:r w:rsidRPr="006A7B63">
              <w:rPr>
                <w:rFonts w:ascii="Times New Roman" w:hAnsi="Times New Roman" w:cs="Times New Roman"/>
                <w:sz w:val="20"/>
                <w:szCs w:val="20"/>
              </w:rPr>
              <w:t xml:space="preserve"> forecast. </w:t>
            </w:r>
            <w:r w:rsidR="02A7A37E" w:rsidRPr="00590CF5">
              <w:rPr>
                <w:rFonts w:ascii="Times New Roman" w:hAnsi="Times New Roman" w:cs="Times New Roman"/>
                <w:sz w:val="20"/>
                <w:szCs w:val="20"/>
              </w:rPr>
              <w:t>AEOs</w:t>
            </w:r>
            <w:r w:rsidRPr="006A7B63">
              <w:rPr>
                <w:rFonts w:ascii="Times New Roman" w:hAnsi="Times New Roman" w:cs="Times New Roman"/>
                <w:sz w:val="20"/>
                <w:szCs w:val="20"/>
              </w:rPr>
              <w:t xml:space="preserve"> forecasted ~3% annual revenue growth is therefore conservative and well-supported by industry trends.</w:t>
            </w:r>
          </w:p>
        </w:tc>
      </w:tr>
    </w:tbl>
    <w:p w14:paraId="32B70D15" w14:textId="77777777" w:rsidR="008B6E95" w:rsidRPr="006A7B63" w:rsidRDefault="008B6E95" w:rsidP="05FA96B4">
      <w:pPr>
        <w:rPr>
          <w:rFonts w:ascii="Times New Roman" w:hAnsi="Times New Roman" w:cs="Times New Roman"/>
        </w:rPr>
      </w:pPr>
    </w:p>
    <w:p w14:paraId="337DB58C" w14:textId="77777777" w:rsidR="008B6E95" w:rsidRPr="006A7B63" w:rsidRDefault="008B6E95" w:rsidP="05FA96B4">
      <w:pPr>
        <w:spacing w:after="50"/>
        <w:jc w:val="center"/>
        <w:rPr>
          <w:rFonts w:ascii="Times New Roman" w:hAnsi="Times New Roman" w:cs="Times New Roman"/>
        </w:rPr>
      </w:pPr>
      <w:r>
        <w:drawing>
          <wp:inline distT="0" distB="0" distL="0" distR="0" wp14:anchorId="71DB3F24" wp14:editId="0312340E">
            <wp:extent cx="5238750" cy="2667000"/>
            <wp:effectExtent l="0" t="0" r="0" b="0"/>
            <wp:docPr id="722855437" name="Figure 12: Market Trends Supporting AEO Revenue Growth — Digital Penetration, Athleisure Market, Specialty Retail Growth" descr="Figure 12: Market Trends Supporting AEO Revenue Growth — Digital Penetration, Athleisure Market, Specialty Retail Growth" title="Figure 12: Market Trends Supporting AEO Revenue Growth — Digital Penetration, Athleisure Market, Specialty Retail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667000"/>
                    </a:xfrm>
                    <a:prstGeom prst="rect">
                      <a:avLst/>
                    </a:prstGeom>
                  </pic:spPr>
                </pic:pic>
              </a:graphicData>
            </a:graphic>
          </wp:inline>
        </w:drawing>
      </w:r>
    </w:p>
    <w:p w14:paraId="78AA8A4E" w14:textId="77777777" w:rsidR="008B6E95" w:rsidRPr="006A7B63" w:rsidRDefault="008B6E95" w:rsidP="008B6E95">
      <w:pPr>
        <w:spacing w:after="130"/>
        <w:jc w:val="center"/>
        <w:rPr>
          <w:rFonts w:ascii="Times New Roman" w:hAnsi="Times New Roman" w:cs="Times New Roman"/>
        </w:rPr>
      </w:pPr>
      <w:r w:rsidRPr="006A7B63">
        <w:rPr>
          <w:rFonts w:ascii="Times New Roman" w:hAnsi="Times New Roman" w:cs="Times New Roman"/>
          <w:i/>
          <w:iCs/>
          <w:color w:val="666666"/>
          <w:sz w:val="17"/>
          <w:szCs w:val="17"/>
        </w:rPr>
        <w:t>Figure 12: Market Trends Supporting AEO Revenue Growth — Digital Penetration, Athleisure Market, Specialty Retail Growth</w:t>
      </w:r>
    </w:p>
    <w:p w14:paraId="4188D95B" w14:textId="77777777" w:rsidR="008B6E95" w:rsidRPr="006A7B63" w:rsidRDefault="008B6E95" w:rsidP="05FA96B4">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8B6E95" w:rsidRPr="006A7B63" w14:paraId="0F2A45F2" w14:textId="77777777" w:rsidTr="00590CF5">
        <w:tc>
          <w:tcPr>
            <w:tcW w:w="48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C5F8A"/>
            <w:tcMar>
              <w:top w:w="120" w:type="dxa"/>
              <w:left w:w="80" w:type="dxa"/>
              <w:bottom w:w="120" w:type="dxa"/>
              <w:right w:w="80" w:type="dxa"/>
            </w:tcMar>
            <w:vAlign w:val="center"/>
          </w:tcPr>
          <w:p w14:paraId="3A075E09" w14:textId="77777777" w:rsidR="008B6E95" w:rsidRPr="006A7B63" w:rsidRDefault="008B6E95" w:rsidP="009D3D48">
            <w:pPr>
              <w:jc w:val="center"/>
              <w:rPr>
                <w:rFonts w:ascii="Times New Roman" w:hAnsi="Times New Roman" w:cs="Times New Roman"/>
              </w:rPr>
            </w:pPr>
            <w:r w:rsidRPr="05FA96B4">
              <w:rPr>
                <w:rFonts w:ascii="Times New Roman" w:hAnsi="Times New Roman" w:cs="Times New Roman"/>
                <w:b/>
                <w:color w:val="FFFFFF" w:themeColor="background1"/>
                <w:sz w:val="28"/>
                <w:szCs w:val="28"/>
              </w:rPr>
              <w:t>2</w:t>
            </w:r>
          </w:p>
        </w:tc>
        <w:tc>
          <w:tcPr>
            <w:tcW w:w="8880" w:type="dxa"/>
            <w:tcBorders>
              <w:top w:val="single" w:sz="1" w:space="0" w:color="CCCCCC"/>
              <w:left w:val="none" w:sz="0" w:space="0" w:color="FFFFFF" w:themeColor="background1"/>
              <w:bottom w:val="single" w:sz="1" w:space="0" w:color="CCCCCC"/>
              <w:right w:val="single" w:sz="1" w:space="0" w:color="CCCCCC"/>
            </w:tcBorders>
            <w:shd w:val="clear" w:color="auto" w:fill="EDF2F8"/>
            <w:tcMar>
              <w:top w:w="100" w:type="dxa"/>
              <w:left w:w="160" w:type="dxa"/>
              <w:bottom w:w="100" w:type="dxa"/>
              <w:right w:w="160" w:type="dxa"/>
            </w:tcMar>
          </w:tcPr>
          <w:p w14:paraId="47AF6147" w14:textId="77777777" w:rsidR="008B6E95" w:rsidRPr="006A7B63" w:rsidRDefault="008B6E95" w:rsidP="009D3D48">
            <w:pPr>
              <w:spacing w:after="50"/>
              <w:rPr>
                <w:rFonts w:ascii="Times New Roman" w:hAnsi="Times New Roman" w:cs="Times New Roman"/>
              </w:rPr>
            </w:pPr>
            <w:r w:rsidRPr="006A7B63">
              <w:rPr>
                <w:rFonts w:ascii="Times New Roman" w:hAnsi="Times New Roman" w:cs="Times New Roman"/>
                <w:b/>
                <w:bCs/>
                <w:color w:val="2C5F8A"/>
                <w:sz w:val="22"/>
                <w:szCs w:val="22"/>
              </w:rPr>
              <w:t>Compelling Margin Expansion Trajectory</w:t>
            </w:r>
          </w:p>
          <w:p w14:paraId="2E33AAC0" w14:textId="7A469A05" w:rsidR="008B6E95" w:rsidRPr="006A7B63" w:rsidRDefault="008B6E95" w:rsidP="009D3D48">
            <w:pPr>
              <w:rPr>
                <w:rFonts w:ascii="Times New Roman" w:hAnsi="Times New Roman" w:cs="Times New Roman"/>
              </w:rPr>
            </w:pPr>
            <w:r w:rsidRPr="006A7B63">
              <w:rPr>
                <w:rFonts w:ascii="Times New Roman" w:hAnsi="Times New Roman" w:cs="Times New Roman"/>
                <w:sz w:val="20"/>
                <w:szCs w:val="20"/>
              </w:rPr>
              <w:t xml:space="preserve">Gross margin is forecasted to expand from 39.2% (FY2024) to 45.0% (FY2031), and net margin from 6.2% to 11.7%. EBITDA nearly doubles from $640M to $1,247M. These improvements are grounded in three sources: disciplined COGS reduction (59% → 55% of sales) through better sourcing and channel mix; SG&amp;A operating leverage (27% → 25.9%) as fixed costs scale across a growing revenue base; and Aerie’s </w:t>
            </w:r>
            <w:proofErr w:type="gramStart"/>
            <w:r w:rsidRPr="006A7B63">
              <w:rPr>
                <w:rFonts w:ascii="Times New Roman" w:hAnsi="Times New Roman" w:cs="Times New Roman"/>
                <w:sz w:val="20"/>
                <w:szCs w:val="20"/>
              </w:rPr>
              <w:t>higher-margin</w:t>
            </w:r>
            <w:proofErr w:type="gramEnd"/>
            <w:r w:rsidRPr="006A7B63">
              <w:rPr>
                <w:rFonts w:ascii="Times New Roman" w:hAnsi="Times New Roman" w:cs="Times New Roman"/>
                <w:sz w:val="20"/>
                <w:szCs w:val="20"/>
              </w:rPr>
              <w:t xml:space="preserve"> activewear becoming a larger share of the total. These are not aggressive </w:t>
            </w:r>
            <w:proofErr w:type="gramStart"/>
            <w:r w:rsidRPr="006A7B63">
              <w:rPr>
                <w:rFonts w:ascii="Times New Roman" w:hAnsi="Times New Roman" w:cs="Times New Roman"/>
                <w:sz w:val="20"/>
                <w:szCs w:val="20"/>
              </w:rPr>
              <w:t>assumptions  they</w:t>
            </w:r>
            <w:proofErr w:type="gramEnd"/>
            <w:r w:rsidRPr="006A7B63">
              <w:rPr>
                <w:rFonts w:ascii="Times New Roman" w:hAnsi="Times New Roman" w:cs="Times New Roman"/>
                <w:sz w:val="20"/>
                <w:szCs w:val="20"/>
              </w:rPr>
              <w:t xml:space="preserve"> reflect management’s stated targets and are consistent with the historical improvement trend from FY2022 to FY2024.</w:t>
            </w:r>
          </w:p>
        </w:tc>
      </w:tr>
    </w:tbl>
    <w:p w14:paraId="63C9FF3F" w14:textId="77777777" w:rsidR="008B6E95" w:rsidRPr="006A7B63" w:rsidRDefault="008B6E95" w:rsidP="05FA96B4">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8B6E95" w:rsidRPr="006A7B63" w14:paraId="577EC152" w14:textId="77777777" w:rsidTr="00590CF5">
        <w:tc>
          <w:tcPr>
            <w:tcW w:w="48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A6B2C"/>
            <w:tcMar>
              <w:top w:w="120" w:type="dxa"/>
              <w:left w:w="80" w:type="dxa"/>
              <w:bottom w:w="120" w:type="dxa"/>
              <w:right w:w="80" w:type="dxa"/>
            </w:tcMar>
            <w:vAlign w:val="center"/>
          </w:tcPr>
          <w:p w14:paraId="575205C7" w14:textId="77777777" w:rsidR="008B6E95" w:rsidRPr="006A7B63" w:rsidRDefault="008B6E95" w:rsidP="009D3D48">
            <w:pPr>
              <w:jc w:val="center"/>
              <w:rPr>
                <w:rFonts w:ascii="Times New Roman" w:hAnsi="Times New Roman" w:cs="Times New Roman"/>
              </w:rPr>
            </w:pPr>
            <w:r w:rsidRPr="05FA96B4">
              <w:rPr>
                <w:rFonts w:ascii="Times New Roman" w:hAnsi="Times New Roman" w:cs="Times New Roman"/>
                <w:b/>
                <w:color w:val="FFFFFF" w:themeColor="background1"/>
                <w:sz w:val="28"/>
                <w:szCs w:val="28"/>
              </w:rPr>
              <w:t>3</w:t>
            </w:r>
          </w:p>
        </w:tc>
        <w:tc>
          <w:tcPr>
            <w:tcW w:w="8880" w:type="dxa"/>
            <w:tcBorders>
              <w:top w:val="single" w:sz="1" w:space="0" w:color="CCCCCC"/>
              <w:left w:val="none" w:sz="0" w:space="0" w:color="FFFFFF" w:themeColor="background1"/>
              <w:bottom w:val="single" w:sz="1" w:space="0" w:color="CCCCCC"/>
              <w:right w:val="single" w:sz="1" w:space="0" w:color="CCCCCC"/>
            </w:tcBorders>
            <w:shd w:val="clear" w:color="auto" w:fill="EDF2F8"/>
            <w:tcMar>
              <w:top w:w="100" w:type="dxa"/>
              <w:left w:w="160" w:type="dxa"/>
              <w:bottom w:w="100" w:type="dxa"/>
              <w:right w:w="160" w:type="dxa"/>
            </w:tcMar>
          </w:tcPr>
          <w:p w14:paraId="00B480BC" w14:textId="77777777" w:rsidR="008B6E95" w:rsidRPr="006A7B63" w:rsidRDefault="008B6E95" w:rsidP="009D3D48">
            <w:pPr>
              <w:spacing w:after="50"/>
              <w:rPr>
                <w:rFonts w:ascii="Times New Roman" w:hAnsi="Times New Roman" w:cs="Times New Roman"/>
              </w:rPr>
            </w:pPr>
            <w:r w:rsidRPr="006A7B63">
              <w:rPr>
                <w:rFonts w:ascii="Times New Roman" w:hAnsi="Times New Roman" w:cs="Times New Roman"/>
                <w:b/>
                <w:bCs/>
                <w:color w:val="1A6B2C"/>
                <w:sz w:val="22"/>
                <w:szCs w:val="22"/>
              </w:rPr>
              <w:t>Valuation Discount + Pristine Balance Sheet</w:t>
            </w:r>
          </w:p>
          <w:p w14:paraId="27BB4CD1" w14:textId="71F0799C" w:rsidR="008B6E95" w:rsidRPr="006A7B63" w:rsidRDefault="008B6E95" w:rsidP="009D3D48">
            <w:pPr>
              <w:rPr>
                <w:rFonts w:ascii="Times New Roman" w:hAnsi="Times New Roman" w:cs="Times New Roman"/>
              </w:rPr>
            </w:pPr>
            <w:r w:rsidRPr="006A7B63">
              <w:rPr>
                <w:rFonts w:ascii="Times New Roman" w:hAnsi="Times New Roman" w:cs="Times New Roman"/>
                <w:sz w:val="20"/>
                <w:szCs w:val="20"/>
              </w:rPr>
              <w:t xml:space="preserve">AEO trades at a 14–41% discount to sector median on every relative metric (P/E -33.2%, EV/EBITDA -28.6%, P/Sales -40.9%), while carrying zero long-term debt </w:t>
            </w:r>
            <w:r w:rsidR="420A8A4A" w:rsidRPr="00590CF5">
              <w:rPr>
                <w:rFonts w:ascii="Times New Roman" w:hAnsi="Times New Roman" w:cs="Times New Roman"/>
                <w:sz w:val="20"/>
                <w:szCs w:val="20"/>
              </w:rPr>
              <w:t>to</w:t>
            </w:r>
            <w:r w:rsidRPr="006A7B63">
              <w:rPr>
                <w:rFonts w:ascii="Times New Roman" w:hAnsi="Times New Roman" w:cs="Times New Roman"/>
                <w:sz w:val="20"/>
                <w:szCs w:val="20"/>
              </w:rPr>
              <w:t xml:space="preserve"> the best balance sheet in the peer group. Our five-method weighted valuation (DCF 45</w:t>
            </w:r>
            <w:r w:rsidR="47D55C28" w:rsidRPr="00590CF5">
              <w:rPr>
                <w:rFonts w:ascii="Times New Roman" w:hAnsi="Times New Roman" w:cs="Times New Roman"/>
                <w:sz w:val="20"/>
                <w:szCs w:val="20"/>
              </w:rPr>
              <w:t>%,</w:t>
            </w:r>
            <w:r w:rsidRPr="006A7B63">
              <w:rPr>
                <w:rFonts w:ascii="Times New Roman" w:hAnsi="Times New Roman" w:cs="Times New Roman"/>
                <w:sz w:val="20"/>
                <w:szCs w:val="20"/>
              </w:rPr>
              <w:t xml:space="preserve"> EV/EBITDA 25</w:t>
            </w:r>
            <w:r w:rsidR="49CC2002" w:rsidRPr="00590CF5">
              <w:rPr>
                <w:rFonts w:ascii="Times New Roman" w:hAnsi="Times New Roman" w:cs="Times New Roman"/>
                <w:sz w:val="20"/>
                <w:szCs w:val="20"/>
              </w:rPr>
              <w:t>%,</w:t>
            </w:r>
            <w:r w:rsidRPr="006A7B63">
              <w:rPr>
                <w:rFonts w:ascii="Times New Roman" w:hAnsi="Times New Roman" w:cs="Times New Roman"/>
                <w:sz w:val="20"/>
                <w:szCs w:val="20"/>
              </w:rPr>
              <w:t xml:space="preserve"> EV/EBIT 10</w:t>
            </w:r>
            <w:r w:rsidR="4D5D3472" w:rsidRPr="00590CF5">
              <w:rPr>
                <w:rFonts w:ascii="Times New Roman" w:hAnsi="Times New Roman" w:cs="Times New Roman"/>
                <w:sz w:val="20"/>
                <w:szCs w:val="20"/>
              </w:rPr>
              <w:t>%,</w:t>
            </w:r>
            <w:r w:rsidRPr="006A7B63">
              <w:rPr>
                <w:rFonts w:ascii="Times New Roman" w:hAnsi="Times New Roman" w:cs="Times New Roman"/>
                <w:sz w:val="20"/>
                <w:szCs w:val="20"/>
              </w:rPr>
              <w:t xml:space="preserve"> P/E 10% | PEG 10%) produces a today’s target of $27.79 and a 12-month target of $35.11 (sector median). ROE of 18.8% and RNOA of 18.5% are the highest among peers studied, achieved with zero financial leverage. The company returned $190M+ to shareholders via buybacks in FY2024, signaling strong management confidence in future cash flows.</w:t>
            </w:r>
          </w:p>
        </w:tc>
      </w:tr>
    </w:tbl>
    <w:p w14:paraId="34CB5280" w14:textId="77777777" w:rsidR="008B6E95" w:rsidRPr="006A7B63" w:rsidRDefault="008B6E95" w:rsidP="05FA96B4">
      <w:pPr>
        <w:rPr>
          <w:rFonts w:ascii="Times New Roman" w:hAnsi="Times New Roman" w:cs="Times New Roman"/>
        </w:rPr>
      </w:pPr>
    </w:p>
    <w:p w14:paraId="09D0A80D" w14:textId="316E0550" w:rsidR="4B58677E" w:rsidRDefault="008B6E95" w:rsidP="00381400">
      <w:pPr>
        <w:spacing w:after="100"/>
        <w:jc w:val="center"/>
        <w:rPr>
          <w:rFonts w:ascii="Times New Roman" w:hAnsi="Times New Roman" w:cs="Times New Roman"/>
          <w:b/>
          <w:bCs/>
          <w:color w:val="1A6B2C"/>
          <w:sz w:val="26"/>
          <w:szCs w:val="26"/>
        </w:rPr>
      </w:pPr>
      <w:r w:rsidRPr="006A7B63">
        <w:rPr>
          <w:rFonts w:ascii="Times New Roman" w:hAnsi="Times New Roman" w:cs="Times New Roman"/>
          <w:b/>
          <w:bCs/>
          <w:color w:val="1A6B2C"/>
          <w:sz w:val="26"/>
          <w:szCs w:val="26"/>
        </w:rPr>
        <w:t xml:space="preserve">Final Recommendation: </w:t>
      </w:r>
      <w:r w:rsidR="00094408" w:rsidRPr="006A7B63">
        <w:rPr>
          <w:rFonts w:ascii="Times New Roman" w:hAnsi="Times New Roman" w:cs="Times New Roman"/>
          <w:b/>
          <w:bCs/>
          <w:color w:val="1A6B2C"/>
          <w:sz w:val="26"/>
          <w:szCs w:val="26"/>
        </w:rPr>
        <w:t xml:space="preserve">BUY </w:t>
      </w:r>
      <w:proofErr w:type="gramStart"/>
      <w:r w:rsidR="00094408" w:rsidRPr="006A7B63">
        <w:rPr>
          <w:rFonts w:ascii="Times New Roman" w:hAnsi="Times New Roman" w:cs="Times New Roman"/>
          <w:b/>
          <w:bCs/>
          <w:color w:val="1A6B2C"/>
          <w:sz w:val="26"/>
          <w:szCs w:val="26"/>
        </w:rPr>
        <w:t>|</w:t>
      </w:r>
      <w:r w:rsidRPr="006A7B63">
        <w:rPr>
          <w:rFonts w:ascii="Times New Roman" w:hAnsi="Times New Roman" w:cs="Times New Roman"/>
          <w:b/>
          <w:bCs/>
          <w:color w:val="1A6B2C"/>
          <w:sz w:val="26"/>
          <w:szCs w:val="26"/>
        </w:rPr>
        <w:t xml:space="preserve">  12</w:t>
      </w:r>
      <w:proofErr w:type="gramEnd"/>
      <w:r w:rsidRPr="006A7B63">
        <w:rPr>
          <w:rFonts w:ascii="Times New Roman" w:hAnsi="Times New Roman" w:cs="Times New Roman"/>
          <w:b/>
          <w:bCs/>
          <w:color w:val="1A6B2C"/>
          <w:sz w:val="26"/>
          <w:szCs w:val="26"/>
        </w:rPr>
        <w:t>-Month Target: $35.11 (Sector Median)  |  Upside: +110.2%</w:t>
      </w:r>
    </w:p>
    <w:p w14:paraId="687FA625" w14:textId="02069858" w:rsidR="4B58677E" w:rsidRDefault="4B58677E" w:rsidP="4B58677E">
      <w:pPr>
        <w:pStyle w:val="Heading1"/>
        <w:pBdr>
          <w:bottom w:val="single" w:sz="6" w:space="4" w:color="1B3A6B"/>
        </w:pBdr>
        <w:spacing w:before="0"/>
        <w:rPr>
          <w:rFonts w:ascii="Times New Roman" w:hAnsi="Times New Roman" w:cs="Times New Roman"/>
        </w:rPr>
      </w:pPr>
    </w:p>
    <w:p w14:paraId="3F7BE873" w14:textId="77777777" w:rsidR="0059119F" w:rsidRPr="006A7B63" w:rsidRDefault="00783E68" w:rsidP="05FA96B4">
      <w:pPr>
        <w:pStyle w:val="Heading1"/>
        <w:pBdr>
          <w:bottom w:val="single" w:sz="6" w:space="4" w:color="1B3A6B"/>
        </w:pBdr>
        <w:spacing w:before="0"/>
        <w:rPr>
          <w:rFonts w:ascii="Times New Roman" w:hAnsi="Times New Roman" w:cs="Times New Roman"/>
        </w:rPr>
      </w:pPr>
      <w:r w:rsidRPr="006A7B63">
        <w:rPr>
          <w:rFonts w:ascii="Times New Roman" w:hAnsi="Times New Roman" w:cs="Times New Roman"/>
        </w:rPr>
        <w:t>Appendix A: AI Reflection</w:t>
      </w:r>
    </w:p>
    <w:p w14:paraId="0F915E38" w14:textId="77777777" w:rsidR="0059119F" w:rsidRPr="006A7B63" w:rsidRDefault="00783E68" w:rsidP="05FA96B4">
      <w:pPr>
        <w:pStyle w:val="Heading2"/>
        <w:spacing w:before="0"/>
        <w:rPr>
          <w:rFonts w:ascii="Times New Roman" w:hAnsi="Times New Roman" w:cs="Times New Roman"/>
        </w:rPr>
      </w:pPr>
      <w:r w:rsidRPr="006A7B63">
        <w:rPr>
          <w:rFonts w:ascii="Times New Roman" w:hAnsi="Times New Roman" w:cs="Times New Roman"/>
        </w:rPr>
        <w:t>AI Usage Documentation</w:t>
      </w:r>
    </w:p>
    <w:p w14:paraId="56D84709" w14:textId="77350091" w:rsidR="0059119F" w:rsidRPr="006A7B63" w:rsidRDefault="00783E68" w:rsidP="05FA96B4">
      <w:pPr>
        <w:spacing w:after="70" w:line="280" w:lineRule="auto"/>
        <w:rPr>
          <w:rFonts w:ascii="Times New Roman" w:hAnsi="Times New Roman" w:cs="Times New Roman"/>
        </w:rPr>
      </w:pPr>
      <w:r w:rsidRPr="006A7B63">
        <w:rPr>
          <w:rFonts w:ascii="Times New Roman" w:hAnsi="Times New Roman" w:cs="Times New Roman"/>
          <w:color w:val="222222"/>
        </w:rPr>
        <w:t xml:space="preserve">All AI usage is disclosed below per course requirements. Any AI-assisted step not listed here was not </w:t>
      </w:r>
      <w:r w:rsidR="00FD77D8" w:rsidRPr="006A7B63">
        <w:rPr>
          <w:rFonts w:ascii="Times New Roman" w:hAnsi="Times New Roman" w:cs="Times New Roman"/>
          <w:color w:val="222222"/>
        </w:rPr>
        <w:t>complet</w:t>
      </w:r>
      <w:r w:rsidRPr="006A7B63">
        <w:rPr>
          <w:rFonts w:ascii="Times New Roman" w:hAnsi="Times New Roman" w:cs="Times New Roman"/>
          <w:color w:val="222222"/>
        </w:rPr>
        <w:t>ed.</w:t>
      </w:r>
    </w:p>
    <w:p w14:paraId="422A030E" w14:textId="77777777" w:rsidR="0059119F" w:rsidRPr="006A7B63" w:rsidRDefault="0059119F" w:rsidP="05FA96B4">
      <w:pPr>
        <w:rPr>
          <w:rFonts w:ascii="Times New Roman" w:hAnsi="Times New Roman" w:cs="Times New Roman"/>
        </w:rPr>
      </w:pPr>
    </w:p>
    <w:p w14:paraId="60C4014E" w14:textId="451AD904" w:rsidR="0059119F" w:rsidRPr="006A7B63" w:rsidRDefault="00FD77D8" w:rsidP="05FA96B4">
      <w:pPr>
        <w:spacing w:after="70" w:line="280" w:lineRule="auto"/>
        <w:jc w:val="both"/>
        <w:rPr>
          <w:rFonts w:ascii="Times New Roman" w:hAnsi="Times New Roman" w:cs="Times New Roman"/>
        </w:rPr>
      </w:pPr>
      <w:r w:rsidRPr="006A7B63">
        <w:rPr>
          <w:rFonts w:ascii="Times New Roman" w:hAnsi="Times New Roman" w:cs="Times New Roman"/>
          <w:b/>
          <w:bCs/>
        </w:rPr>
        <w:t xml:space="preserve">Business Overview (ChatGPT): Prompt: </w:t>
      </w:r>
      <w:r w:rsidRPr="006A7B63">
        <w:rPr>
          <w:rFonts w:ascii="Times New Roman" w:hAnsi="Times New Roman" w:cs="Times New Roman"/>
        </w:rPr>
        <w:t>“Provide general guidance on structuring a business overview. All data will be gathered independently.” This prompt is used only for structural guidance. All financial data and analysis were created independently of 10-K filings and course materials.</w:t>
      </w:r>
    </w:p>
    <w:p w14:paraId="5A7309A4" w14:textId="77777777" w:rsidR="0059119F" w:rsidRPr="006A7B63" w:rsidRDefault="0059119F" w:rsidP="05FA96B4">
      <w:pPr>
        <w:jc w:val="both"/>
        <w:rPr>
          <w:rFonts w:ascii="Times New Roman" w:hAnsi="Times New Roman" w:cs="Times New Roman"/>
        </w:rPr>
      </w:pPr>
    </w:p>
    <w:p w14:paraId="0A45BF88" w14:textId="2890088E" w:rsidR="0059119F" w:rsidRPr="006A7B63" w:rsidRDefault="00783E68" w:rsidP="05FA96B4">
      <w:pPr>
        <w:spacing w:after="70" w:line="280" w:lineRule="auto"/>
        <w:jc w:val="both"/>
        <w:rPr>
          <w:rFonts w:ascii="Times New Roman" w:hAnsi="Times New Roman" w:cs="Times New Roman"/>
        </w:rPr>
      </w:pPr>
      <w:r w:rsidRPr="006A7B63">
        <w:rPr>
          <w:rFonts w:ascii="Times New Roman" w:hAnsi="Times New Roman" w:cs="Times New Roman"/>
          <w:b/>
          <w:bCs/>
        </w:rPr>
        <w:t xml:space="preserve">Industry Overview (ChatGPT): </w:t>
      </w:r>
      <w:r w:rsidRPr="006A7B63">
        <w:rPr>
          <w:rFonts w:ascii="Times New Roman" w:hAnsi="Times New Roman" w:cs="Times New Roman"/>
        </w:rPr>
        <w:t xml:space="preserve">Prompt: “If you were to </w:t>
      </w:r>
      <w:r w:rsidR="00FD77D8" w:rsidRPr="006A7B63">
        <w:rPr>
          <w:rFonts w:ascii="Times New Roman" w:hAnsi="Times New Roman" w:cs="Times New Roman"/>
        </w:rPr>
        <w:t>conduct</w:t>
      </w:r>
      <w:r w:rsidRPr="006A7B63">
        <w:rPr>
          <w:rFonts w:ascii="Times New Roman" w:hAnsi="Times New Roman" w:cs="Times New Roman"/>
        </w:rPr>
        <w:t xml:space="preserve"> an industry analysis, what would it look like?” Framework guidance only. </w:t>
      </w:r>
      <w:r w:rsidR="00FD77D8" w:rsidRPr="006A7B63">
        <w:rPr>
          <w:rFonts w:ascii="Times New Roman" w:hAnsi="Times New Roman" w:cs="Times New Roman"/>
        </w:rPr>
        <w:t>The team prepared a review of m</w:t>
      </w:r>
      <w:r w:rsidRPr="006A7B63">
        <w:rPr>
          <w:rFonts w:ascii="Times New Roman" w:hAnsi="Times New Roman" w:cs="Times New Roman"/>
        </w:rPr>
        <w:t>arket size, Porter’s Five Forces, and competitive analysis.</w:t>
      </w:r>
    </w:p>
    <w:p w14:paraId="30D18DEA" w14:textId="77777777" w:rsidR="0059119F" w:rsidRPr="006A7B63" w:rsidRDefault="0059119F" w:rsidP="05FA96B4">
      <w:pPr>
        <w:jc w:val="both"/>
        <w:rPr>
          <w:rFonts w:ascii="Times New Roman" w:hAnsi="Times New Roman" w:cs="Times New Roman"/>
        </w:rPr>
      </w:pPr>
    </w:p>
    <w:p w14:paraId="723E04C0" w14:textId="73635472" w:rsidR="0059119F" w:rsidRPr="006A7B63" w:rsidRDefault="00FD77D8" w:rsidP="05FA96B4">
      <w:pPr>
        <w:spacing w:after="70" w:line="280" w:lineRule="auto"/>
        <w:jc w:val="both"/>
        <w:rPr>
          <w:rFonts w:ascii="Times New Roman" w:hAnsi="Times New Roman" w:cs="Times New Roman"/>
        </w:rPr>
      </w:pPr>
      <w:r w:rsidRPr="006A7B63">
        <w:rPr>
          <w:rFonts w:ascii="Times New Roman" w:hAnsi="Times New Roman" w:cs="Times New Roman"/>
          <w:b/>
          <w:bCs/>
        </w:rPr>
        <w:t xml:space="preserve">Financial Analysis Editing (ChatGPT): Prompt: </w:t>
      </w:r>
      <w:r w:rsidRPr="006A7B63">
        <w:rPr>
          <w:rFonts w:ascii="Times New Roman" w:hAnsi="Times New Roman" w:cs="Times New Roman"/>
        </w:rPr>
        <w:t>“Evaluate this draft solely for clarity, grammar, spelling, and syntax. Do not add any new information.” Changes were made to correct grammar. Rejected: suggestions that introduce new analytical claims or alter our conclusions.</w:t>
      </w:r>
    </w:p>
    <w:p w14:paraId="45603B43" w14:textId="77777777" w:rsidR="00FD77D8" w:rsidRPr="006A7B63" w:rsidRDefault="00FD77D8" w:rsidP="05FA96B4">
      <w:pPr>
        <w:spacing w:after="70" w:line="280" w:lineRule="auto"/>
        <w:jc w:val="both"/>
        <w:rPr>
          <w:rFonts w:ascii="Times New Roman" w:hAnsi="Times New Roman" w:cs="Times New Roman"/>
          <w:b/>
          <w:bCs/>
        </w:rPr>
      </w:pPr>
    </w:p>
    <w:p w14:paraId="20D73EB4" w14:textId="3E0B72A4" w:rsidR="0059119F" w:rsidRPr="006A7B63" w:rsidRDefault="003D707A" w:rsidP="05FA96B4">
      <w:pPr>
        <w:spacing w:after="70" w:line="280" w:lineRule="auto"/>
        <w:jc w:val="both"/>
        <w:rPr>
          <w:rFonts w:ascii="Times New Roman" w:hAnsi="Times New Roman" w:cs="Times New Roman"/>
        </w:rPr>
      </w:pPr>
      <w:r w:rsidRPr="006A7B63">
        <w:rPr>
          <w:rFonts w:ascii="Times New Roman" w:hAnsi="Times New Roman" w:cs="Times New Roman"/>
          <w:b/>
          <w:bCs/>
        </w:rPr>
        <w:t xml:space="preserve">Claude AI compiled the final report from all uploaded source files, including the initial report, FIN360 </w:t>
      </w:r>
      <w:proofErr w:type="spellStart"/>
      <w:r w:rsidRPr="006A7B63">
        <w:rPr>
          <w:rFonts w:ascii="Times New Roman" w:hAnsi="Times New Roman" w:cs="Times New Roman"/>
          <w:b/>
          <w:bCs/>
        </w:rPr>
        <w:t>eVal</w:t>
      </w:r>
      <w:proofErr w:type="spellEnd"/>
      <w:r w:rsidRPr="006A7B63">
        <w:rPr>
          <w:rFonts w:ascii="Times New Roman" w:hAnsi="Times New Roman" w:cs="Times New Roman"/>
          <w:b/>
          <w:bCs/>
        </w:rPr>
        <w:t xml:space="preserve"> w Forecast Excel, Valuation Homework 10 &amp; 11 Excel, and Explanation HW document. </w:t>
      </w:r>
      <w:r w:rsidRPr="006A7B63">
        <w:rPr>
          <w:rFonts w:ascii="Times New Roman" w:hAnsi="Times New Roman" w:cs="Times New Roman"/>
        </w:rPr>
        <w:t xml:space="preserve">It checked all financial figures against the actual values in the </w:t>
      </w:r>
      <w:proofErr w:type="spellStart"/>
      <w:r w:rsidRPr="006A7B63">
        <w:rPr>
          <w:rFonts w:ascii="Times New Roman" w:hAnsi="Times New Roman" w:cs="Times New Roman"/>
        </w:rPr>
        <w:t>eVal</w:t>
      </w:r>
      <w:proofErr w:type="spellEnd"/>
      <w:r w:rsidRPr="006A7B63">
        <w:rPr>
          <w:rFonts w:ascii="Times New Roman" w:hAnsi="Times New Roman" w:cs="Times New Roman"/>
        </w:rPr>
        <w:t xml:space="preserve"> spreadsheet (data only mode), created 10 charts and visualizations based on verified data, and formatted the document. All analytical content, forecasted figures, and valuation conclusions are directly derived from the team’s original work—no data was altered or fabricated. Claude’s formatting suggestions were applied where they improved readability without changing the content.</w:t>
      </w:r>
    </w:p>
    <w:p w14:paraId="7C8D528F" w14:textId="77777777" w:rsidR="0059119F" w:rsidRPr="006A7B63" w:rsidRDefault="00783E68">
      <w:pPr>
        <w:rPr>
          <w:rFonts w:ascii="Times New Roman" w:hAnsi="Times New Roman" w:cs="Times New Roman"/>
        </w:rPr>
      </w:pPr>
      <w:r w:rsidRPr="006A7B63">
        <w:rPr>
          <w:rFonts w:ascii="Times New Roman" w:hAnsi="Times New Roman" w:cs="Times New Roman"/>
        </w:rPr>
        <w:br w:type="page"/>
      </w:r>
    </w:p>
    <w:p w14:paraId="54A5299D" w14:textId="77777777" w:rsidR="0059119F" w:rsidRPr="006A7B63" w:rsidRDefault="00783E68" w:rsidP="05FA96B4">
      <w:pPr>
        <w:pStyle w:val="Heading1"/>
        <w:pBdr>
          <w:bottom w:val="single" w:sz="6" w:space="4" w:color="1B3A6B"/>
        </w:pBdr>
        <w:spacing w:before="0"/>
        <w:rPr>
          <w:rFonts w:ascii="Times New Roman" w:hAnsi="Times New Roman" w:cs="Times New Roman"/>
        </w:rPr>
      </w:pPr>
      <w:r w:rsidRPr="006A7B63">
        <w:rPr>
          <w:rFonts w:ascii="Times New Roman" w:hAnsi="Times New Roman" w:cs="Times New Roman"/>
        </w:rPr>
        <w:lastRenderedPageBreak/>
        <w:t>Appendix B: Data Verification &amp; Sources</w:t>
      </w:r>
    </w:p>
    <w:p w14:paraId="6768DCFF" w14:textId="5B4DF1E5" w:rsidR="528F2509" w:rsidRPr="006A7B63" w:rsidRDefault="528F2509" w:rsidP="1DFDC5DA">
      <w:pPr>
        <w:spacing w:line="276" w:lineRule="auto"/>
        <w:jc w:val="both"/>
        <w:rPr>
          <w:rFonts w:ascii="Times New Roman" w:eastAsia="Times New Roman" w:hAnsi="Times New Roman" w:cs="Times New Roman"/>
          <w:color w:val="000000" w:themeColor="text1"/>
          <w:sz w:val="24"/>
          <w:szCs w:val="24"/>
        </w:rPr>
      </w:pPr>
      <w:r w:rsidRPr="006A7B63">
        <w:rPr>
          <w:rFonts w:ascii="Times New Roman" w:eastAsia="Times New Roman" w:hAnsi="Times New Roman" w:cs="Times New Roman"/>
          <w:b/>
          <w:bCs/>
          <w:color w:val="000000" w:themeColor="text1"/>
          <w:sz w:val="24"/>
          <w:szCs w:val="24"/>
        </w:rPr>
        <w:t>Revenue and Profitability Analysis</w:t>
      </w:r>
    </w:p>
    <w:p w14:paraId="266D027D" w14:textId="5DD40330" w:rsidR="1DFDC5DA" w:rsidRPr="006A7B63" w:rsidRDefault="1DFDC5DA" w:rsidP="1DFDC5DA">
      <w:pPr>
        <w:spacing w:line="276" w:lineRule="auto"/>
        <w:jc w:val="both"/>
        <w:rPr>
          <w:rFonts w:ascii="Times New Roman" w:eastAsia="Times New Roman" w:hAnsi="Times New Roman" w:cs="Times New Roman"/>
          <w:color w:val="000000" w:themeColor="text1"/>
          <w:sz w:val="24"/>
          <w:szCs w:val="24"/>
        </w:rPr>
      </w:pPr>
    </w:p>
    <w:p w14:paraId="41DAF23C" w14:textId="49837C0A" w:rsidR="528F2509" w:rsidRPr="006A7B63" w:rsidRDefault="528F2509" w:rsidP="1DFDC5DA">
      <w:pPr>
        <w:spacing w:line="276" w:lineRule="auto"/>
        <w:rPr>
          <w:rFonts w:ascii="Times New Roman" w:eastAsia="Times New Roman" w:hAnsi="Times New Roman" w:cs="Times New Roman"/>
          <w:color w:val="000000" w:themeColor="text1"/>
          <w:sz w:val="24"/>
          <w:szCs w:val="24"/>
        </w:rPr>
      </w:pPr>
      <w:r>
        <w:drawing>
          <wp:inline distT="0" distB="0" distL="0" distR="0" wp14:anchorId="78B24C99" wp14:editId="6A6583F1">
            <wp:extent cx="6858000" cy="3095625"/>
            <wp:effectExtent l="0" t="0" r="0" b="0"/>
            <wp:docPr id="332274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74471" name="Picture 332274471"/>
                    <pic:cNvPicPr/>
                  </pic:nvPicPr>
                  <pic:blipFill>
                    <a:blip r:embed="rId19">
                      <a:extLst>
                        <a:ext uri="{28A0092B-C50C-407E-A947-70E740481C1C}">
                          <a14:useLocalDpi xmlns:a14="http://schemas.microsoft.com/office/drawing/2010/main"/>
                        </a:ext>
                      </a:extLst>
                    </a:blip>
                    <a:stretch>
                      <a:fillRect/>
                    </a:stretch>
                  </pic:blipFill>
                  <pic:spPr>
                    <a:xfrm>
                      <a:off x="0" y="0"/>
                      <a:ext cx="6858000" cy="3095625"/>
                    </a:xfrm>
                    <a:prstGeom prst="rect">
                      <a:avLst/>
                    </a:prstGeom>
                  </pic:spPr>
                </pic:pic>
              </a:graphicData>
            </a:graphic>
          </wp:inline>
        </w:drawing>
      </w:r>
      <w:r w:rsidRPr="006A7B63">
        <w:rPr>
          <w:rFonts w:ascii="Times New Roman" w:eastAsia="Times New Roman" w:hAnsi="Times New Roman" w:cs="Times New Roman"/>
          <w:b/>
          <w:bCs/>
          <w:color w:val="000000" w:themeColor="text1"/>
          <w:sz w:val="24"/>
          <w:szCs w:val="24"/>
        </w:rPr>
        <w:t>Leverage-and-Capital Structure Analysis</w:t>
      </w:r>
    </w:p>
    <w:p w14:paraId="51A3458C" w14:textId="3D75B677" w:rsidR="528F2509" w:rsidRPr="006A7B63" w:rsidRDefault="528F2509" w:rsidP="1DFDC5DA">
      <w:pPr>
        <w:spacing w:line="276" w:lineRule="auto"/>
        <w:jc w:val="both"/>
        <w:rPr>
          <w:rFonts w:ascii="Times New Roman" w:eastAsia="Aptos" w:hAnsi="Times New Roman" w:cs="Times New Roman"/>
          <w:color w:val="000000" w:themeColor="text1"/>
          <w:sz w:val="24"/>
          <w:szCs w:val="24"/>
        </w:rPr>
      </w:pPr>
      <w:r>
        <w:lastRenderedPageBreak/>
        <w:drawing>
          <wp:inline distT="0" distB="0" distL="0" distR="0" wp14:anchorId="74785861" wp14:editId="5D21BEF3">
            <wp:extent cx="6858000" cy="3114675"/>
            <wp:effectExtent l="0" t="0" r="0" b="0"/>
            <wp:docPr id="2043004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04997" name="Picture 2043004997"/>
                    <pic:cNvPicPr/>
                  </pic:nvPicPr>
                  <pic:blipFill>
                    <a:blip r:embed="rId20">
                      <a:extLst>
                        <a:ext uri="{28A0092B-C50C-407E-A947-70E740481C1C}">
                          <a14:useLocalDpi xmlns:a14="http://schemas.microsoft.com/office/drawing/2010/main"/>
                        </a:ext>
                      </a:extLst>
                    </a:blip>
                    <a:stretch>
                      <a:fillRect/>
                    </a:stretch>
                  </pic:blipFill>
                  <pic:spPr>
                    <a:xfrm>
                      <a:off x="0" y="0"/>
                      <a:ext cx="6858000" cy="3114675"/>
                    </a:xfrm>
                    <a:prstGeom prst="rect">
                      <a:avLst/>
                    </a:prstGeom>
                  </pic:spPr>
                </pic:pic>
              </a:graphicData>
            </a:graphic>
          </wp:inline>
        </w:drawing>
      </w:r>
      <w:r>
        <w:drawing>
          <wp:inline distT="0" distB="0" distL="0" distR="0" wp14:anchorId="096623FF" wp14:editId="30555939">
            <wp:extent cx="6858000" cy="3095625"/>
            <wp:effectExtent l="0" t="0" r="0" b="0"/>
            <wp:docPr id="544586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6493" name="Picture 544586493"/>
                    <pic:cNvPicPr/>
                  </pic:nvPicPr>
                  <pic:blipFill>
                    <a:blip r:embed="rId21">
                      <a:extLst>
                        <a:ext uri="{28A0092B-C50C-407E-A947-70E740481C1C}">
                          <a14:useLocalDpi xmlns:a14="http://schemas.microsoft.com/office/drawing/2010/main"/>
                        </a:ext>
                      </a:extLst>
                    </a:blip>
                    <a:stretch>
                      <a:fillRect/>
                    </a:stretch>
                  </pic:blipFill>
                  <pic:spPr>
                    <a:xfrm>
                      <a:off x="0" y="0"/>
                      <a:ext cx="6858000" cy="3095625"/>
                    </a:xfrm>
                    <a:prstGeom prst="rect">
                      <a:avLst/>
                    </a:prstGeom>
                  </pic:spPr>
                </pic:pic>
              </a:graphicData>
            </a:graphic>
          </wp:inline>
        </w:drawing>
      </w:r>
    </w:p>
    <w:p w14:paraId="5B7352D2" w14:textId="5BDA6C6B" w:rsidR="1DFDC5DA" w:rsidRPr="006A7B63" w:rsidRDefault="1DFDC5DA" w:rsidP="1DFDC5DA">
      <w:pPr>
        <w:rPr>
          <w:rFonts w:ascii="Times New Roman" w:eastAsia="Aptos" w:hAnsi="Times New Roman" w:cs="Times New Roman"/>
          <w:color w:val="000000" w:themeColor="text1"/>
          <w:sz w:val="24"/>
          <w:szCs w:val="24"/>
        </w:rPr>
      </w:pPr>
    </w:p>
    <w:p w14:paraId="314C3911" w14:textId="38889EA3" w:rsidR="1DFDC5DA" w:rsidRPr="006A7B63" w:rsidRDefault="1DFDC5DA" w:rsidP="1DFDC5DA">
      <w:pPr>
        <w:rPr>
          <w:rFonts w:ascii="Times New Roman" w:eastAsia="Aptos" w:hAnsi="Times New Roman" w:cs="Times New Roman"/>
          <w:color w:val="000000" w:themeColor="text1"/>
          <w:sz w:val="24"/>
          <w:szCs w:val="24"/>
        </w:rPr>
      </w:pPr>
    </w:p>
    <w:p w14:paraId="23B69EC6" w14:textId="57513D70" w:rsidR="1DFDC5DA" w:rsidRPr="006A7B63" w:rsidRDefault="1DFDC5DA" w:rsidP="1DFDC5DA">
      <w:pPr>
        <w:rPr>
          <w:rFonts w:ascii="Times New Roman" w:eastAsia="Aptos" w:hAnsi="Times New Roman" w:cs="Times New Roman"/>
          <w:color w:val="000000" w:themeColor="text1"/>
          <w:sz w:val="24"/>
          <w:szCs w:val="24"/>
        </w:rPr>
      </w:pPr>
    </w:p>
    <w:p w14:paraId="7CBD7039" w14:textId="45FA73E9" w:rsidR="1DFDC5DA" w:rsidRPr="006A7B63" w:rsidRDefault="1DFDC5DA" w:rsidP="1DFDC5DA">
      <w:pPr>
        <w:rPr>
          <w:rFonts w:ascii="Times New Roman" w:eastAsia="Aptos" w:hAnsi="Times New Roman" w:cs="Times New Roman"/>
          <w:color w:val="000000" w:themeColor="text1"/>
          <w:sz w:val="24"/>
          <w:szCs w:val="24"/>
        </w:rPr>
      </w:pPr>
    </w:p>
    <w:p w14:paraId="6F2C220C" w14:textId="335B519E" w:rsidR="1DFDC5DA" w:rsidRPr="006A7B63" w:rsidRDefault="1DFDC5DA" w:rsidP="1DFDC5DA">
      <w:pPr>
        <w:rPr>
          <w:rFonts w:ascii="Times New Roman" w:eastAsia="Aptos" w:hAnsi="Times New Roman" w:cs="Times New Roman"/>
          <w:color w:val="000000" w:themeColor="text1"/>
          <w:sz w:val="24"/>
          <w:szCs w:val="24"/>
        </w:rPr>
      </w:pPr>
    </w:p>
    <w:p w14:paraId="36605DDF" w14:textId="2C076DA5" w:rsidR="1DFDC5DA" w:rsidRPr="006A7B63" w:rsidRDefault="1DFDC5DA" w:rsidP="1DFDC5DA">
      <w:pPr>
        <w:rPr>
          <w:rFonts w:ascii="Times New Roman" w:eastAsia="Aptos" w:hAnsi="Times New Roman" w:cs="Times New Roman"/>
          <w:color w:val="000000" w:themeColor="text1"/>
          <w:sz w:val="24"/>
          <w:szCs w:val="24"/>
        </w:rPr>
      </w:pPr>
    </w:p>
    <w:p w14:paraId="3AEB98FC" w14:textId="103B0EB8" w:rsidR="528F2509" w:rsidRPr="006A7B63" w:rsidRDefault="528F2509" w:rsidP="1DFDC5DA">
      <w:pPr>
        <w:spacing w:line="276" w:lineRule="auto"/>
        <w:jc w:val="both"/>
        <w:rPr>
          <w:rFonts w:ascii="Times New Roman" w:eastAsia="Times New Roman" w:hAnsi="Times New Roman" w:cs="Times New Roman"/>
          <w:color w:val="000000" w:themeColor="text1"/>
          <w:sz w:val="24"/>
          <w:szCs w:val="24"/>
        </w:rPr>
      </w:pPr>
      <w:r w:rsidRPr="006A7B63">
        <w:rPr>
          <w:rFonts w:ascii="Times New Roman" w:eastAsia="Times New Roman" w:hAnsi="Times New Roman" w:cs="Times New Roman"/>
          <w:b/>
          <w:bCs/>
          <w:color w:val="000000" w:themeColor="text1"/>
          <w:sz w:val="24"/>
          <w:szCs w:val="24"/>
        </w:rPr>
        <w:t>Turnover Analysis</w:t>
      </w:r>
    </w:p>
    <w:p w14:paraId="1975898F" w14:textId="16E4FA56" w:rsidR="1DFDC5DA" w:rsidRPr="006A7B63" w:rsidRDefault="1DFDC5DA" w:rsidP="1DFDC5DA">
      <w:pPr>
        <w:rPr>
          <w:rFonts w:ascii="Times New Roman" w:eastAsia="Aptos" w:hAnsi="Times New Roman" w:cs="Times New Roman"/>
          <w:color w:val="000000" w:themeColor="text1"/>
          <w:sz w:val="24"/>
          <w:szCs w:val="24"/>
        </w:rPr>
      </w:pPr>
    </w:p>
    <w:p w14:paraId="709C31E6" w14:textId="028CC6AF" w:rsidR="528F2509" w:rsidRPr="006A7B63" w:rsidRDefault="528F2509" w:rsidP="1DFDC5DA">
      <w:pPr>
        <w:rPr>
          <w:rFonts w:ascii="Times New Roman" w:eastAsia="Aptos" w:hAnsi="Times New Roman" w:cs="Times New Roman"/>
          <w:color w:val="000000" w:themeColor="text1"/>
          <w:sz w:val="24"/>
          <w:szCs w:val="24"/>
        </w:rPr>
      </w:pPr>
      <w:r>
        <w:lastRenderedPageBreak/>
        <w:drawing>
          <wp:inline distT="0" distB="0" distL="0" distR="0" wp14:anchorId="143347F6" wp14:editId="64DD0728">
            <wp:extent cx="6362700" cy="3819525"/>
            <wp:effectExtent l="0" t="0" r="0" b="0"/>
            <wp:docPr id="1433994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94085" name="Picture 1433994085"/>
                    <pic:cNvPicPr/>
                  </pic:nvPicPr>
                  <pic:blipFill>
                    <a:blip r:embed="rId22">
                      <a:extLst>
                        <a:ext uri="{28A0092B-C50C-407E-A947-70E740481C1C}">
                          <a14:useLocalDpi xmlns:a14="http://schemas.microsoft.com/office/drawing/2010/main"/>
                        </a:ext>
                      </a:extLst>
                    </a:blip>
                    <a:stretch>
                      <a:fillRect/>
                    </a:stretch>
                  </pic:blipFill>
                  <pic:spPr>
                    <a:xfrm>
                      <a:off x="0" y="0"/>
                      <a:ext cx="6362700" cy="3819525"/>
                    </a:xfrm>
                    <a:prstGeom prst="rect">
                      <a:avLst/>
                    </a:prstGeom>
                  </pic:spPr>
                </pic:pic>
              </a:graphicData>
            </a:graphic>
          </wp:inline>
        </w:drawing>
      </w:r>
      <w:r w:rsidRPr="006A7B63">
        <w:rPr>
          <w:rFonts w:ascii="Times New Roman" w:eastAsia="Aptos" w:hAnsi="Times New Roman" w:cs="Times New Roman"/>
          <w:color w:val="000000" w:themeColor="text1"/>
          <w:sz w:val="24"/>
          <w:szCs w:val="24"/>
        </w:rPr>
        <w:t xml:space="preserve">   </w:t>
      </w:r>
    </w:p>
    <w:p w14:paraId="5E97B258" w14:textId="77B9A78D" w:rsidR="528F2509" w:rsidRPr="006A7B63" w:rsidRDefault="528F2509" w:rsidP="1DFDC5DA">
      <w:pPr>
        <w:rPr>
          <w:rFonts w:ascii="Times New Roman" w:eastAsia="Aptos" w:hAnsi="Times New Roman" w:cs="Times New Roman"/>
          <w:color w:val="000000" w:themeColor="text1"/>
          <w:sz w:val="24"/>
          <w:szCs w:val="24"/>
        </w:rPr>
      </w:pPr>
      <w:r>
        <w:drawing>
          <wp:inline distT="0" distB="0" distL="0" distR="0" wp14:anchorId="1ACC9641" wp14:editId="5672BA6B">
            <wp:extent cx="6410325" cy="3867150"/>
            <wp:effectExtent l="0" t="0" r="0" b="0"/>
            <wp:docPr id="223736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6730" name="Picture 223736730"/>
                    <pic:cNvPicPr/>
                  </pic:nvPicPr>
                  <pic:blipFill>
                    <a:blip r:embed="rId23">
                      <a:extLst>
                        <a:ext uri="{28A0092B-C50C-407E-A947-70E740481C1C}">
                          <a14:useLocalDpi xmlns:a14="http://schemas.microsoft.com/office/drawing/2010/main"/>
                        </a:ext>
                      </a:extLst>
                    </a:blip>
                    <a:stretch>
                      <a:fillRect/>
                    </a:stretch>
                  </pic:blipFill>
                  <pic:spPr>
                    <a:xfrm>
                      <a:off x="0" y="0"/>
                      <a:ext cx="6410325" cy="3867150"/>
                    </a:xfrm>
                    <a:prstGeom prst="rect">
                      <a:avLst/>
                    </a:prstGeom>
                  </pic:spPr>
                </pic:pic>
              </a:graphicData>
            </a:graphic>
          </wp:inline>
        </w:drawing>
      </w:r>
      <w:r w:rsidRPr="006A7B63">
        <w:rPr>
          <w:rFonts w:ascii="Times New Roman" w:eastAsia="Aptos" w:hAnsi="Times New Roman" w:cs="Times New Roman"/>
          <w:color w:val="000000" w:themeColor="text1"/>
          <w:sz w:val="24"/>
          <w:szCs w:val="24"/>
        </w:rPr>
        <w:t xml:space="preserve"> </w:t>
      </w:r>
    </w:p>
    <w:p w14:paraId="139F1902" w14:textId="0D578861" w:rsidR="1DFDC5DA" w:rsidRPr="006A7B63" w:rsidRDefault="1DFDC5DA" w:rsidP="1DFDC5DA">
      <w:pPr>
        <w:rPr>
          <w:rFonts w:ascii="Times New Roman" w:eastAsia="Aptos" w:hAnsi="Times New Roman" w:cs="Times New Roman"/>
          <w:color w:val="000000" w:themeColor="text1"/>
          <w:sz w:val="24"/>
          <w:szCs w:val="24"/>
        </w:rPr>
      </w:pPr>
    </w:p>
    <w:p w14:paraId="08ED9F94" w14:textId="1CFE6D1A" w:rsidR="1DFDC5DA" w:rsidRPr="006A7B63" w:rsidRDefault="1DFDC5DA" w:rsidP="05FA96B4">
      <w:pPr>
        <w:pStyle w:val="Heading2"/>
        <w:spacing w:before="0"/>
        <w:rPr>
          <w:rFonts w:ascii="Times New Roman" w:hAnsi="Times New Roman" w:cs="Times New Roman"/>
        </w:rPr>
      </w:pPr>
    </w:p>
    <w:p w14:paraId="5F3A5B01" w14:textId="77777777" w:rsidR="0059119F" w:rsidRPr="006A7B63" w:rsidRDefault="00783E68" w:rsidP="05FA96B4">
      <w:pPr>
        <w:pStyle w:val="Heading2"/>
        <w:spacing w:before="0"/>
        <w:rPr>
          <w:rFonts w:ascii="Times New Roman" w:hAnsi="Times New Roman" w:cs="Times New Roman"/>
        </w:rPr>
      </w:pPr>
      <w:proofErr w:type="spellStart"/>
      <w:r w:rsidRPr="006A7B63">
        <w:rPr>
          <w:rFonts w:ascii="Times New Roman" w:hAnsi="Times New Roman" w:cs="Times New Roman"/>
        </w:rPr>
        <w:t>eVal</w:t>
      </w:r>
      <w:proofErr w:type="spellEnd"/>
      <w:r w:rsidRPr="006A7B63">
        <w:rPr>
          <w:rFonts w:ascii="Times New Roman" w:hAnsi="Times New Roman" w:cs="Times New Roman"/>
        </w:rPr>
        <w:t xml:space="preserve"> Model Key Parameters</w:t>
      </w:r>
    </w:p>
    <w:p w14:paraId="5CC20F93" w14:textId="77777777" w:rsidR="0059119F" w:rsidRPr="006A7B63" w:rsidRDefault="0059119F" w:rsidP="05FA96B4">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9119F" w:rsidRPr="006A7B63" w14:paraId="4A31B8A1"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1BDC6EEB" w14:textId="77777777" w:rsidR="0059119F" w:rsidRPr="006A7B63" w:rsidRDefault="00783E68">
            <w:pPr>
              <w:jc w:val="center"/>
              <w:rPr>
                <w:rFonts w:ascii="Times New Roman" w:hAnsi="Times New Roman" w:cs="Times New Roman"/>
              </w:rPr>
            </w:pPr>
            <w:r w:rsidRPr="05FA96B4">
              <w:rPr>
                <w:rFonts w:ascii="Times New Roman" w:hAnsi="Times New Roman" w:cs="Times New Roman"/>
                <w:b/>
                <w:color w:val="FFFFFF" w:themeColor="background1"/>
                <w:sz w:val="19"/>
                <w:szCs w:val="19"/>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10" w:type="dxa"/>
              <w:bottom w:w="80" w:type="dxa"/>
              <w:right w:w="110" w:type="dxa"/>
            </w:tcMar>
            <w:vAlign w:val="center"/>
          </w:tcPr>
          <w:p w14:paraId="7297F227" w14:textId="77777777" w:rsidR="0059119F" w:rsidRPr="006A7B63" w:rsidRDefault="00783E68">
            <w:pPr>
              <w:jc w:val="center"/>
              <w:rPr>
                <w:rFonts w:ascii="Times New Roman" w:hAnsi="Times New Roman" w:cs="Times New Roman"/>
              </w:rPr>
            </w:pPr>
            <w:r w:rsidRPr="05FA96B4">
              <w:rPr>
                <w:rFonts w:ascii="Times New Roman" w:hAnsi="Times New Roman" w:cs="Times New Roman"/>
                <w:b/>
                <w:color w:val="FFFFFF" w:themeColor="background1"/>
                <w:sz w:val="19"/>
                <w:szCs w:val="19"/>
              </w:rPr>
              <w:t>Value</w:t>
            </w:r>
          </w:p>
        </w:tc>
      </w:tr>
      <w:tr w:rsidR="0059119F" w:rsidRPr="006A7B63" w14:paraId="12D2EEFD" w14:textId="77777777">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084D911"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lastRenderedPageBreak/>
              <w:t>Shares Outstanding</w:t>
            </w:r>
          </w:p>
        </w:tc>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388668D" w14:textId="77777777" w:rsidR="0059119F" w:rsidRPr="006A7B63" w:rsidRDefault="00783E68">
            <w:pPr>
              <w:jc w:val="center"/>
              <w:rPr>
                <w:rFonts w:ascii="Times New Roman" w:hAnsi="Times New Roman" w:cs="Times New Roman"/>
              </w:rPr>
            </w:pPr>
            <w:r w:rsidRPr="006A7B63">
              <w:rPr>
                <w:rFonts w:ascii="Times New Roman" w:hAnsi="Times New Roman" w:cs="Times New Roman"/>
                <w:color w:val="222222"/>
                <w:sz w:val="19"/>
                <w:szCs w:val="19"/>
              </w:rPr>
              <w:t>188,618 thousand</w:t>
            </w:r>
          </w:p>
        </w:tc>
      </w:tr>
      <w:tr w:rsidR="0059119F" w:rsidRPr="006A7B63" w14:paraId="4FD3E259" w14:textId="77777777" w:rsidTr="05FA96B4">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4127297D"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t>Cost of Equity (</w:t>
            </w:r>
            <w:proofErr w:type="spellStart"/>
            <w:r w:rsidRPr="006A7B63">
              <w:rPr>
                <w:rFonts w:ascii="Times New Roman" w:hAnsi="Times New Roman" w:cs="Times New Roman"/>
                <w:b/>
                <w:bCs/>
                <w:color w:val="222222"/>
                <w:sz w:val="19"/>
                <w:szCs w:val="19"/>
              </w:rPr>
              <w:t>ke</w:t>
            </w:r>
            <w:proofErr w:type="spellEnd"/>
            <w:r w:rsidRPr="006A7B63">
              <w:rPr>
                <w:rFonts w:ascii="Times New Roman" w:hAnsi="Times New Roman" w:cs="Times New Roman"/>
                <w:b/>
                <w:bCs/>
                <w:color w:val="222222"/>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66F887D" w14:textId="77777777" w:rsidR="0059119F" w:rsidRPr="006A7B63" w:rsidRDefault="00783E68">
            <w:pPr>
              <w:jc w:val="center"/>
              <w:rPr>
                <w:rFonts w:ascii="Times New Roman" w:hAnsi="Times New Roman" w:cs="Times New Roman"/>
              </w:rPr>
            </w:pPr>
            <w:r w:rsidRPr="006A7B63">
              <w:rPr>
                <w:rFonts w:ascii="Times New Roman" w:hAnsi="Times New Roman" w:cs="Times New Roman"/>
                <w:color w:val="222222"/>
                <w:sz w:val="19"/>
                <w:szCs w:val="19"/>
              </w:rPr>
              <w:t>10.0% (</w:t>
            </w:r>
            <w:proofErr w:type="spellStart"/>
            <w:r w:rsidRPr="006A7B63">
              <w:rPr>
                <w:rFonts w:ascii="Times New Roman" w:hAnsi="Times New Roman" w:cs="Times New Roman"/>
                <w:color w:val="222222"/>
                <w:sz w:val="19"/>
                <w:szCs w:val="19"/>
              </w:rPr>
              <w:t>eVal</w:t>
            </w:r>
            <w:proofErr w:type="spellEnd"/>
            <w:r w:rsidRPr="006A7B63">
              <w:rPr>
                <w:rFonts w:ascii="Times New Roman" w:hAnsi="Times New Roman" w:cs="Times New Roman"/>
                <w:color w:val="222222"/>
                <w:sz w:val="19"/>
                <w:szCs w:val="19"/>
              </w:rPr>
              <w:t>) / 13.90% (DDM/WACC)</w:t>
            </w:r>
          </w:p>
        </w:tc>
      </w:tr>
      <w:tr w:rsidR="0059119F" w:rsidRPr="006A7B63" w14:paraId="1EE6B50F" w14:textId="77777777">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E9F605A"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t>WACC</w:t>
            </w:r>
          </w:p>
        </w:tc>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13402561" w14:textId="77777777" w:rsidR="0059119F" w:rsidRPr="006A7B63" w:rsidRDefault="00783E68">
            <w:pPr>
              <w:jc w:val="center"/>
              <w:rPr>
                <w:rFonts w:ascii="Times New Roman" w:hAnsi="Times New Roman" w:cs="Times New Roman"/>
              </w:rPr>
            </w:pPr>
            <w:r w:rsidRPr="006A7B63">
              <w:rPr>
                <w:rFonts w:ascii="Times New Roman" w:hAnsi="Times New Roman" w:cs="Times New Roman"/>
                <w:b/>
                <w:bCs/>
                <w:color w:val="222222"/>
                <w:sz w:val="19"/>
                <w:szCs w:val="19"/>
              </w:rPr>
              <w:t>13.90%</w:t>
            </w:r>
          </w:p>
        </w:tc>
      </w:tr>
      <w:tr w:rsidR="0059119F" w:rsidRPr="006A7B63" w14:paraId="2D714C0C" w14:textId="77777777" w:rsidTr="05FA96B4">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13BCCA7B"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t>Constant Growth Rate (DDM, 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4CB095D8" w14:textId="77777777" w:rsidR="0059119F" w:rsidRPr="006A7B63" w:rsidRDefault="00783E68">
            <w:pPr>
              <w:jc w:val="center"/>
              <w:rPr>
                <w:rFonts w:ascii="Times New Roman" w:hAnsi="Times New Roman" w:cs="Times New Roman"/>
              </w:rPr>
            </w:pPr>
            <w:r w:rsidRPr="006A7B63">
              <w:rPr>
                <w:rFonts w:ascii="Times New Roman" w:hAnsi="Times New Roman" w:cs="Times New Roman"/>
                <w:b/>
                <w:bCs/>
                <w:color w:val="222222"/>
                <w:sz w:val="19"/>
                <w:szCs w:val="19"/>
              </w:rPr>
              <w:t>9.197%</w:t>
            </w:r>
          </w:p>
        </w:tc>
      </w:tr>
      <w:tr w:rsidR="0059119F" w:rsidRPr="006A7B63" w14:paraId="4F833E41" w14:textId="77777777">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6E7F3442"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t>DDM P0</w:t>
            </w:r>
          </w:p>
        </w:tc>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2104C842" w14:textId="77777777" w:rsidR="0059119F" w:rsidRPr="006A7B63" w:rsidRDefault="00783E68">
            <w:pPr>
              <w:jc w:val="center"/>
              <w:rPr>
                <w:rFonts w:ascii="Times New Roman" w:hAnsi="Times New Roman" w:cs="Times New Roman"/>
              </w:rPr>
            </w:pPr>
            <w:r w:rsidRPr="006A7B63">
              <w:rPr>
                <w:rFonts w:ascii="Times New Roman" w:hAnsi="Times New Roman" w:cs="Times New Roman"/>
                <w:b/>
                <w:bCs/>
                <w:color w:val="1A6B2C"/>
                <w:sz w:val="19"/>
                <w:szCs w:val="19"/>
              </w:rPr>
              <w:t>$11.61</w:t>
            </w:r>
          </w:p>
        </w:tc>
      </w:tr>
      <w:tr w:rsidR="0059119F" w:rsidRPr="006A7B63" w14:paraId="752715B2" w14:textId="77777777" w:rsidTr="05FA96B4">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8F818E1" w14:textId="77777777" w:rsidR="0059119F" w:rsidRPr="006A7B63" w:rsidRDefault="00783E68">
            <w:pPr>
              <w:rPr>
                <w:rFonts w:ascii="Times New Roman" w:hAnsi="Times New Roman" w:cs="Times New Roman"/>
              </w:rPr>
            </w:pPr>
            <w:proofErr w:type="spellStart"/>
            <w:r w:rsidRPr="006A7B63">
              <w:rPr>
                <w:rFonts w:ascii="Times New Roman" w:hAnsi="Times New Roman" w:cs="Times New Roman"/>
                <w:b/>
                <w:bCs/>
                <w:color w:val="222222"/>
                <w:sz w:val="19"/>
                <w:szCs w:val="19"/>
              </w:rPr>
              <w:t>eVal</w:t>
            </w:r>
            <w:proofErr w:type="spellEnd"/>
            <w:r w:rsidRPr="006A7B63">
              <w:rPr>
                <w:rFonts w:ascii="Times New Roman" w:hAnsi="Times New Roman" w:cs="Times New Roman"/>
                <w:b/>
                <w:bCs/>
                <w:color w:val="222222"/>
                <w:sz w:val="19"/>
                <w:szCs w:val="19"/>
              </w:rPr>
              <w:t xml:space="preserve"> Residual Income Intrinsic 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0DF64B3" w14:textId="77777777" w:rsidR="0059119F" w:rsidRPr="006A7B63" w:rsidRDefault="00783E68">
            <w:pPr>
              <w:jc w:val="center"/>
              <w:rPr>
                <w:rFonts w:ascii="Times New Roman" w:hAnsi="Times New Roman" w:cs="Times New Roman"/>
              </w:rPr>
            </w:pPr>
            <w:r w:rsidRPr="006A7B63">
              <w:rPr>
                <w:rFonts w:ascii="Times New Roman" w:hAnsi="Times New Roman" w:cs="Times New Roman"/>
                <w:color w:val="222222"/>
                <w:sz w:val="19"/>
                <w:szCs w:val="19"/>
              </w:rPr>
              <w:t>$130.47/share</w:t>
            </w:r>
          </w:p>
        </w:tc>
      </w:tr>
      <w:tr w:rsidR="0059119F" w:rsidRPr="006A7B63" w14:paraId="4C76C861" w14:textId="77777777">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778325D"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t>Weighted Avg Target (Today, Sector Median)</w:t>
            </w:r>
          </w:p>
        </w:tc>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59311EC8" w14:textId="77777777" w:rsidR="0059119F" w:rsidRPr="006A7B63" w:rsidRDefault="00783E68">
            <w:pPr>
              <w:jc w:val="center"/>
              <w:rPr>
                <w:rFonts w:ascii="Times New Roman" w:hAnsi="Times New Roman" w:cs="Times New Roman"/>
              </w:rPr>
            </w:pPr>
            <w:r w:rsidRPr="006A7B63">
              <w:rPr>
                <w:rFonts w:ascii="Times New Roman" w:hAnsi="Times New Roman" w:cs="Times New Roman"/>
                <w:color w:val="222222"/>
                <w:sz w:val="19"/>
                <w:szCs w:val="19"/>
              </w:rPr>
              <w:t>$25.76</w:t>
            </w:r>
          </w:p>
        </w:tc>
      </w:tr>
      <w:tr w:rsidR="0059119F" w:rsidRPr="006A7B63" w14:paraId="54817911" w14:textId="77777777" w:rsidTr="05FA96B4">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3F21665"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t>Weighted Avg Target (12-Mo, Sector Median)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7951DC68" w14:textId="77777777" w:rsidR="0059119F" w:rsidRPr="006A7B63" w:rsidRDefault="00783E68">
            <w:pPr>
              <w:jc w:val="center"/>
              <w:rPr>
                <w:rFonts w:ascii="Times New Roman" w:hAnsi="Times New Roman" w:cs="Times New Roman"/>
              </w:rPr>
            </w:pPr>
            <w:r w:rsidRPr="006A7B63">
              <w:rPr>
                <w:rFonts w:ascii="Times New Roman" w:hAnsi="Times New Roman" w:cs="Times New Roman"/>
                <w:b/>
                <w:bCs/>
                <w:color w:val="1A6B2C"/>
                <w:sz w:val="19"/>
                <w:szCs w:val="19"/>
              </w:rPr>
              <w:t>$38.26</w:t>
            </w:r>
          </w:p>
        </w:tc>
      </w:tr>
      <w:tr w:rsidR="0059119F" w:rsidRPr="006A7B63" w14:paraId="147C5D65" w14:textId="77777777">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060E619D"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t>Analyst Consensus Average</w:t>
            </w:r>
          </w:p>
        </w:tc>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70C36EBE" w14:textId="77777777" w:rsidR="0059119F" w:rsidRPr="006A7B63" w:rsidRDefault="00783E68">
            <w:pPr>
              <w:jc w:val="center"/>
              <w:rPr>
                <w:rFonts w:ascii="Times New Roman" w:hAnsi="Times New Roman" w:cs="Times New Roman"/>
              </w:rPr>
            </w:pPr>
            <w:r w:rsidRPr="006A7B63">
              <w:rPr>
                <w:rFonts w:ascii="Times New Roman" w:hAnsi="Times New Roman" w:cs="Times New Roman"/>
                <w:color w:val="222222"/>
                <w:sz w:val="19"/>
                <w:szCs w:val="19"/>
              </w:rPr>
              <w:t>$281.75</w:t>
            </w:r>
          </w:p>
        </w:tc>
      </w:tr>
      <w:tr w:rsidR="0059119F" w:rsidRPr="006A7B63" w14:paraId="35A2915E" w14:textId="77777777" w:rsidTr="05FA96B4">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0217B49A"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t>Current Market Price (Mar 31, 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10" w:type="dxa"/>
              <w:bottom w:w="60" w:type="dxa"/>
              <w:right w:w="110" w:type="dxa"/>
            </w:tcMar>
            <w:vAlign w:val="center"/>
          </w:tcPr>
          <w:p w14:paraId="6278214E" w14:textId="77777777" w:rsidR="0059119F" w:rsidRPr="006A7B63" w:rsidRDefault="00783E68">
            <w:pPr>
              <w:jc w:val="center"/>
              <w:rPr>
                <w:rFonts w:ascii="Times New Roman" w:hAnsi="Times New Roman" w:cs="Times New Roman"/>
              </w:rPr>
            </w:pPr>
            <w:r w:rsidRPr="006A7B63">
              <w:rPr>
                <w:rFonts w:ascii="Times New Roman" w:hAnsi="Times New Roman" w:cs="Times New Roman"/>
                <w:color w:val="222222"/>
                <w:sz w:val="19"/>
                <w:szCs w:val="19"/>
              </w:rPr>
              <w:t>$16.70</w:t>
            </w:r>
          </w:p>
        </w:tc>
      </w:tr>
      <w:tr w:rsidR="0059119F" w:rsidRPr="006A7B63" w14:paraId="61079F7D" w14:textId="77777777">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38AFA06F" w14:textId="77777777" w:rsidR="0059119F" w:rsidRPr="006A7B63" w:rsidRDefault="00783E68">
            <w:pPr>
              <w:rPr>
                <w:rFonts w:ascii="Times New Roman" w:hAnsi="Times New Roman" w:cs="Times New Roman"/>
              </w:rPr>
            </w:pPr>
            <w:r w:rsidRPr="006A7B63">
              <w:rPr>
                <w:rFonts w:ascii="Times New Roman" w:hAnsi="Times New Roman" w:cs="Times New Roman"/>
                <w:b/>
                <w:bCs/>
                <w:color w:val="222222"/>
                <w:sz w:val="19"/>
                <w:szCs w:val="19"/>
              </w:rPr>
              <w:t>Forecast Horizon</w:t>
            </w:r>
          </w:p>
        </w:tc>
        <w:tc>
          <w:tcPr>
            <w:tcW w:w="4680" w:type="dxa"/>
            <w:tcBorders>
              <w:top w:val="single" w:sz="1" w:space="0" w:color="CCCCCC"/>
              <w:left w:val="single" w:sz="1" w:space="0" w:color="CCCCCC"/>
              <w:bottom w:val="single" w:sz="1" w:space="0" w:color="CCCCCC"/>
              <w:right w:val="single" w:sz="1" w:space="0" w:color="CCCCCC"/>
            </w:tcBorders>
            <w:shd w:val="clear" w:color="auto" w:fill="EDF2F8"/>
            <w:tcMar>
              <w:top w:w="60" w:type="dxa"/>
              <w:left w:w="110" w:type="dxa"/>
              <w:bottom w:w="60" w:type="dxa"/>
              <w:right w:w="110" w:type="dxa"/>
            </w:tcMar>
            <w:vAlign w:val="center"/>
          </w:tcPr>
          <w:p w14:paraId="44AAA1A2" w14:textId="77777777" w:rsidR="0059119F" w:rsidRPr="006A7B63" w:rsidRDefault="00783E68">
            <w:pPr>
              <w:jc w:val="center"/>
              <w:rPr>
                <w:rFonts w:ascii="Times New Roman" w:hAnsi="Times New Roman" w:cs="Times New Roman"/>
              </w:rPr>
            </w:pPr>
            <w:r w:rsidRPr="006A7B63">
              <w:rPr>
                <w:rFonts w:ascii="Times New Roman" w:hAnsi="Times New Roman" w:cs="Times New Roman"/>
                <w:color w:val="222222"/>
                <w:sz w:val="19"/>
                <w:szCs w:val="19"/>
              </w:rPr>
              <w:t>FY2025–FY2031 (7 years)</w:t>
            </w:r>
          </w:p>
        </w:tc>
      </w:tr>
    </w:tbl>
    <w:p w14:paraId="7C7E5DDE" w14:textId="77777777" w:rsidR="0059119F" w:rsidRPr="006A7B63" w:rsidRDefault="0059119F" w:rsidP="05FA96B4">
      <w:pPr>
        <w:rPr>
          <w:rFonts w:ascii="Times New Roman" w:hAnsi="Times New Roman" w:cs="Times New Roman"/>
        </w:rPr>
      </w:pPr>
    </w:p>
    <w:p w14:paraId="48C61F71" w14:textId="7D7C0FB9" w:rsidR="00490507" w:rsidRPr="006A7B63" w:rsidRDefault="009F4834" w:rsidP="05FA96B4">
      <w:pPr>
        <w:pStyle w:val="Heading2"/>
        <w:spacing w:before="0"/>
        <w:rPr>
          <w:rFonts w:ascii="Times New Roman" w:hAnsi="Times New Roman" w:cs="Times New Roman"/>
        </w:rPr>
      </w:pPr>
      <w:r w:rsidRPr="006A7B63">
        <w:rPr>
          <w:rFonts w:ascii="Times New Roman" w:hAnsi="Times New Roman" w:cs="Times New Roman"/>
        </w:rPr>
        <w:t>Ratios and Multiples</w:t>
      </w:r>
    </w:p>
    <w:p w14:paraId="67E1C8C3" w14:textId="3716089E" w:rsidR="009F4834" w:rsidRPr="006A7B63" w:rsidRDefault="009F4834" w:rsidP="05FA96B4">
      <w:pPr>
        <w:pStyle w:val="Heading2"/>
        <w:spacing w:before="0"/>
        <w:rPr>
          <w:rFonts w:ascii="Times New Roman" w:hAnsi="Times New Roman" w:cs="Times New Roman"/>
        </w:rPr>
      </w:pPr>
      <w:r>
        <w:drawing>
          <wp:inline distT="0" distB="0" distL="0" distR="0" wp14:anchorId="08F93993" wp14:editId="072538F6">
            <wp:extent cx="6126480" cy="2682240"/>
            <wp:effectExtent l="0" t="0" r="0" b="0"/>
            <wp:docPr id="100845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8633" name="Picture 10084586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6480" cy="2682240"/>
                    </a:xfrm>
                    <a:prstGeom prst="rect">
                      <a:avLst/>
                    </a:prstGeom>
                  </pic:spPr>
                </pic:pic>
              </a:graphicData>
            </a:graphic>
          </wp:inline>
        </w:drawing>
      </w:r>
    </w:p>
    <w:p w14:paraId="384AAA70" w14:textId="77777777" w:rsidR="009F4834" w:rsidRPr="006A7B63" w:rsidRDefault="009F4834" w:rsidP="05FA96B4">
      <w:pPr>
        <w:pStyle w:val="Heading2"/>
        <w:spacing w:before="0"/>
        <w:rPr>
          <w:rFonts w:ascii="Times New Roman" w:hAnsi="Times New Roman" w:cs="Times New Roman"/>
        </w:rPr>
      </w:pPr>
    </w:p>
    <w:p w14:paraId="03F8565F" w14:textId="77777777" w:rsidR="009F4834" w:rsidRPr="006A7B63" w:rsidRDefault="009F4834" w:rsidP="05FA96B4">
      <w:pPr>
        <w:pStyle w:val="Heading2"/>
        <w:spacing w:before="0"/>
        <w:rPr>
          <w:rFonts w:ascii="Times New Roman" w:hAnsi="Times New Roman" w:cs="Times New Roman"/>
        </w:rPr>
      </w:pPr>
    </w:p>
    <w:p w14:paraId="1533BA76" w14:textId="77777777" w:rsidR="009F4834" w:rsidRPr="006A7B63" w:rsidRDefault="009F4834" w:rsidP="05FA96B4">
      <w:pPr>
        <w:pStyle w:val="Heading2"/>
        <w:spacing w:before="0"/>
        <w:rPr>
          <w:rFonts w:ascii="Times New Roman" w:hAnsi="Times New Roman" w:cs="Times New Roman"/>
        </w:rPr>
      </w:pPr>
    </w:p>
    <w:p w14:paraId="15481281" w14:textId="77777777" w:rsidR="009F4834" w:rsidRPr="006A7B63" w:rsidRDefault="009F4834" w:rsidP="05FA96B4">
      <w:pPr>
        <w:pStyle w:val="Heading2"/>
        <w:spacing w:before="0"/>
        <w:rPr>
          <w:rFonts w:ascii="Times New Roman" w:hAnsi="Times New Roman" w:cs="Times New Roman"/>
        </w:rPr>
      </w:pPr>
    </w:p>
    <w:p w14:paraId="10511F55" w14:textId="77777777" w:rsidR="009F4834" w:rsidRPr="006A7B63" w:rsidRDefault="009F4834" w:rsidP="05FA96B4">
      <w:pPr>
        <w:pStyle w:val="Heading2"/>
        <w:spacing w:before="0"/>
        <w:rPr>
          <w:rFonts w:ascii="Times New Roman" w:hAnsi="Times New Roman" w:cs="Times New Roman"/>
        </w:rPr>
      </w:pPr>
    </w:p>
    <w:p w14:paraId="5D596372" w14:textId="08FA95CA" w:rsidR="009F4834" w:rsidRPr="006A7B63" w:rsidRDefault="009F4834" w:rsidP="05FA96B4">
      <w:pPr>
        <w:pStyle w:val="Heading2"/>
        <w:spacing w:before="0"/>
        <w:rPr>
          <w:rFonts w:ascii="Times New Roman" w:hAnsi="Times New Roman" w:cs="Times New Roman"/>
        </w:rPr>
      </w:pPr>
      <w:r w:rsidRPr="006A7B63">
        <w:rPr>
          <w:rFonts w:ascii="Times New Roman" w:hAnsi="Times New Roman" w:cs="Times New Roman"/>
        </w:rPr>
        <w:t>DDM</w:t>
      </w:r>
    </w:p>
    <w:p w14:paraId="1E4A64BE" w14:textId="7B29B717" w:rsidR="009F4834" w:rsidRPr="006A7B63" w:rsidRDefault="009F4834" w:rsidP="05FA96B4">
      <w:pPr>
        <w:pStyle w:val="Heading2"/>
        <w:spacing w:before="0"/>
        <w:rPr>
          <w:rFonts w:ascii="Times New Roman" w:hAnsi="Times New Roman" w:cs="Times New Roman"/>
        </w:rPr>
      </w:pPr>
      <w:r>
        <w:lastRenderedPageBreak/>
        <w:drawing>
          <wp:inline distT="0" distB="0" distL="0" distR="0" wp14:anchorId="0A61ED30" wp14:editId="6D229EA9">
            <wp:extent cx="6126480" cy="3399155"/>
            <wp:effectExtent l="0" t="0" r="0" b="4445"/>
            <wp:docPr id="452580689" name="Picture 2" descr="A spreadsheet with numbers and a yellow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0689" name="Picture 2" descr="A spreadsheet with numbers and a yellow lin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6480" cy="3399155"/>
                    </a:xfrm>
                    <a:prstGeom prst="rect">
                      <a:avLst/>
                    </a:prstGeom>
                  </pic:spPr>
                </pic:pic>
              </a:graphicData>
            </a:graphic>
          </wp:inline>
        </w:drawing>
      </w:r>
    </w:p>
    <w:p w14:paraId="0ED178A1" w14:textId="3A73F16A" w:rsidR="009F4834" w:rsidRPr="006A7B63" w:rsidRDefault="009F4834" w:rsidP="05FA96B4">
      <w:pPr>
        <w:pStyle w:val="Heading2"/>
        <w:spacing w:before="0"/>
        <w:rPr>
          <w:rFonts w:ascii="Times New Roman" w:hAnsi="Times New Roman" w:cs="Times New Roman"/>
        </w:rPr>
      </w:pPr>
      <w:r w:rsidRPr="006A7B63">
        <w:rPr>
          <w:rFonts w:ascii="Times New Roman" w:hAnsi="Times New Roman" w:cs="Times New Roman"/>
        </w:rPr>
        <w:t>Financial Statements</w:t>
      </w:r>
    </w:p>
    <w:p w14:paraId="659B3835" w14:textId="4377111A" w:rsidR="009F4834" w:rsidRPr="006A7B63" w:rsidRDefault="001F31CA" w:rsidP="05FA96B4">
      <w:pPr>
        <w:pStyle w:val="Heading2"/>
        <w:spacing w:before="0"/>
        <w:rPr>
          <w:rFonts w:ascii="Times New Roman" w:hAnsi="Times New Roman" w:cs="Times New Roman"/>
        </w:rPr>
      </w:pPr>
      <w:r w:rsidRPr="006A7B63">
        <w:rPr>
          <w:rFonts w:ascii="Times New Roman" w:hAnsi="Times New Roman" w:cs="Times New Roman"/>
        </w:rPr>
        <w:t>Income Statement</w:t>
      </w:r>
    </w:p>
    <w:p w14:paraId="7BC43BDC" w14:textId="5F8684C0" w:rsidR="001F31CA" w:rsidRPr="006A7B63" w:rsidRDefault="001F31CA" w:rsidP="05FA96B4">
      <w:pPr>
        <w:pStyle w:val="Heading2"/>
        <w:spacing w:before="0"/>
        <w:rPr>
          <w:rFonts w:ascii="Times New Roman" w:hAnsi="Times New Roman" w:cs="Times New Roman"/>
        </w:rPr>
      </w:pPr>
      <w:r>
        <w:drawing>
          <wp:inline distT="0" distB="0" distL="0" distR="0" wp14:anchorId="469F99CF" wp14:editId="00BCFC2B">
            <wp:extent cx="6126480" cy="2099945"/>
            <wp:effectExtent l="0" t="0" r="0" b="0"/>
            <wp:docPr id="1845773743" name="Picture 3"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73743" name="Picture 3" descr="A screenshot of a spreadshee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6480" cy="2099945"/>
                    </a:xfrm>
                    <a:prstGeom prst="rect">
                      <a:avLst/>
                    </a:prstGeom>
                  </pic:spPr>
                </pic:pic>
              </a:graphicData>
            </a:graphic>
          </wp:inline>
        </w:drawing>
      </w:r>
    </w:p>
    <w:p w14:paraId="7B8B7F9B" w14:textId="0CBD5CAF" w:rsidR="001F31CA" w:rsidRPr="006A7B63" w:rsidRDefault="001F31CA" w:rsidP="05FA96B4">
      <w:pPr>
        <w:pStyle w:val="Heading2"/>
        <w:spacing w:before="0"/>
        <w:rPr>
          <w:rFonts w:ascii="Times New Roman" w:hAnsi="Times New Roman" w:cs="Times New Roman"/>
        </w:rPr>
      </w:pPr>
      <w:r w:rsidRPr="006A7B63">
        <w:rPr>
          <w:rFonts w:ascii="Times New Roman" w:hAnsi="Times New Roman" w:cs="Times New Roman"/>
        </w:rPr>
        <w:t>Balance Sheet</w:t>
      </w:r>
    </w:p>
    <w:p w14:paraId="2EC3D2E0" w14:textId="51BB68E9" w:rsidR="001F31CA" w:rsidRPr="006A7B63" w:rsidRDefault="001F31CA" w:rsidP="05FA96B4">
      <w:pPr>
        <w:pStyle w:val="Heading2"/>
        <w:spacing w:before="0"/>
        <w:rPr>
          <w:rFonts w:ascii="Times New Roman" w:hAnsi="Times New Roman" w:cs="Times New Roman"/>
        </w:rPr>
      </w:pPr>
      <w:r>
        <w:lastRenderedPageBreak/>
        <w:drawing>
          <wp:inline distT="0" distB="0" distL="0" distR="0" wp14:anchorId="1DB4819F" wp14:editId="7E899F9B">
            <wp:extent cx="6126480" cy="2781935"/>
            <wp:effectExtent l="0" t="0" r="0" b="0"/>
            <wp:docPr id="283530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30317" name="Picture 2835303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6480" cy="2781935"/>
                    </a:xfrm>
                    <a:prstGeom prst="rect">
                      <a:avLst/>
                    </a:prstGeom>
                  </pic:spPr>
                </pic:pic>
              </a:graphicData>
            </a:graphic>
          </wp:inline>
        </w:drawing>
      </w:r>
    </w:p>
    <w:p w14:paraId="43A53503" w14:textId="582A9216" w:rsidR="002C3B9F" w:rsidRPr="006A7B63" w:rsidRDefault="002C3B9F" w:rsidP="05FA96B4">
      <w:pPr>
        <w:pStyle w:val="Heading2"/>
        <w:spacing w:before="0"/>
        <w:rPr>
          <w:rFonts w:ascii="Times New Roman" w:hAnsi="Times New Roman" w:cs="Times New Roman"/>
        </w:rPr>
      </w:pPr>
      <w:r w:rsidRPr="006A7B63">
        <w:rPr>
          <w:rFonts w:ascii="Times New Roman" w:hAnsi="Times New Roman" w:cs="Times New Roman"/>
        </w:rPr>
        <w:t>Statement of Retained Earnings and Values of Dupont Analysis</w:t>
      </w:r>
    </w:p>
    <w:p w14:paraId="6E090A28" w14:textId="47753E1E" w:rsidR="002C3B9F" w:rsidRPr="006A7B63" w:rsidRDefault="002C3B9F" w:rsidP="05FA96B4">
      <w:pPr>
        <w:pStyle w:val="Heading2"/>
        <w:spacing w:before="0"/>
        <w:rPr>
          <w:rFonts w:ascii="Times New Roman" w:hAnsi="Times New Roman" w:cs="Times New Roman"/>
        </w:rPr>
      </w:pPr>
      <w:r>
        <w:drawing>
          <wp:inline distT="0" distB="0" distL="0" distR="0" wp14:anchorId="77DCD78B" wp14:editId="0A7025BB">
            <wp:extent cx="6126480" cy="1529080"/>
            <wp:effectExtent l="0" t="0" r="0" b="0"/>
            <wp:docPr id="727398304" name="Picture 5"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8304" name="Picture 5" descr="A screenshot of a spreadshee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6480" cy="1529080"/>
                    </a:xfrm>
                    <a:prstGeom prst="rect">
                      <a:avLst/>
                    </a:prstGeom>
                  </pic:spPr>
                </pic:pic>
              </a:graphicData>
            </a:graphic>
          </wp:inline>
        </w:drawing>
      </w:r>
    </w:p>
    <w:p w14:paraId="3C41CD43" w14:textId="4AA26488" w:rsidR="00455ED9" w:rsidRPr="006A7B63" w:rsidRDefault="00455ED9" w:rsidP="05FA96B4">
      <w:pPr>
        <w:pStyle w:val="Heading2"/>
        <w:spacing w:before="0"/>
        <w:rPr>
          <w:rFonts w:ascii="Times New Roman" w:hAnsi="Times New Roman" w:cs="Times New Roman"/>
        </w:rPr>
      </w:pPr>
    </w:p>
    <w:p w14:paraId="394B32A0" w14:textId="763E5488" w:rsidR="002C3B9F" w:rsidRPr="006A7B63" w:rsidRDefault="002C3B9F" w:rsidP="00590CF5">
      <w:pPr>
        <w:pStyle w:val="Heading2"/>
        <w:spacing w:before="0"/>
        <w:rPr>
          <w:rFonts w:ascii="Times New Roman" w:hAnsi="Times New Roman" w:cs="Times New Roman"/>
        </w:rPr>
      </w:pPr>
      <w:r w:rsidRPr="006A7B63">
        <w:rPr>
          <w:rFonts w:ascii="Times New Roman" w:hAnsi="Times New Roman" w:cs="Times New Roman"/>
        </w:rPr>
        <w:t>Forecasting Assumption</w:t>
      </w:r>
    </w:p>
    <w:p w14:paraId="7D6AEF6D" w14:textId="190827E9" w:rsidR="002C3B9F" w:rsidRPr="006A7B63" w:rsidRDefault="00455ED9" w:rsidP="05FA96B4">
      <w:pPr>
        <w:pStyle w:val="Heading2"/>
        <w:spacing w:before="0"/>
        <w:rPr>
          <w:rFonts w:ascii="Times New Roman" w:hAnsi="Times New Roman" w:cs="Times New Roman"/>
        </w:rPr>
      </w:pPr>
      <w:r>
        <w:lastRenderedPageBreak/>
        <w:drawing>
          <wp:inline distT="0" distB="0" distL="0" distR="0" wp14:anchorId="7D2D1BB3" wp14:editId="7B080A8C">
            <wp:extent cx="6126480" cy="1960880"/>
            <wp:effectExtent l="0" t="0" r="0" b="0"/>
            <wp:docPr id="213632225" name="Picture 6"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2225" name="Picture 6" descr="A screenshot of a spreadshee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6480" cy="1960880"/>
                    </a:xfrm>
                    <a:prstGeom prst="rect">
                      <a:avLst/>
                    </a:prstGeom>
                  </pic:spPr>
                </pic:pic>
              </a:graphicData>
            </a:graphic>
          </wp:inline>
        </w:drawing>
      </w:r>
      <w:r>
        <w:drawing>
          <wp:inline distT="0" distB="0" distL="0" distR="0" wp14:anchorId="68EFE31E" wp14:editId="436C5BC1">
            <wp:extent cx="6126480" cy="2812415"/>
            <wp:effectExtent l="0" t="0" r="0" b="0"/>
            <wp:docPr id="73373225" name="Picture 7"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3225" name="Picture 7" descr="A screenshot of a spreadshee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6480" cy="2812415"/>
                    </a:xfrm>
                    <a:prstGeom prst="rect">
                      <a:avLst/>
                    </a:prstGeom>
                  </pic:spPr>
                </pic:pic>
              </a:graphicData>
            </a:graphic>
          </wp:inline>
        </w:drawing>
      </w:r>
    </w:p>
    <w:p w14:paraId="734439F3" w14:textId="4FDAAF6D" w:rsidR="00783E68" w:rsidRPr="006A7B63" w:rsidRDefault="00783E68" w:rsidP="05FA96B4">
      <w:pPr>
        <w:pStyle w:val="Heading2"/>
        <w:spacing w:before="0"/>
        <w:rPr>
          <w:rFonts w:ascii="Times New Roman" w:hAnsi="Times New Roman" w:cs="Times New Roman"/>
        </w:rPr>
      </w:pPr>
      <w:r w:rsidRPr="006A7B63">
        <w:rPr>
          <w:rFonts w:ascii="Times New Roman" w:hAnsi="Times New Roman" w:cs="Times New Roman"/>
        </w:rPr>
        <w:t>References</w:t>
      </w:r>
    </w:p>
    <w:p w14:paraId="2AB9C748" w14:textId="4871AA3C" w:rsidR="2718BF61" w:rsidRPr="006A7B63" w:rsidRDefault="2718BF61" w:rsidP="35E15CF7">
      <w:pPr>
        <w:rPr>
          <w:rFonts w:ascii="Times New Roman" w:hAnsi="Times New Roman" w:cs="Times New Roman"/>
        </w:rPr>
      </w:pPr>
      <w:r w:rsidRPr="006A7B63">
        <w:rPr>
          <w:rFonts w:ascii="Times New Roman" w:hAnsi="Times New Roman" w:cs="Times New Roman"/>
        </w:rPr>
        <w:t>U.S. Security and Exchange Commission</w:t>
      </w:r>
    </w:p>
    <w:p w14:paraId="70C8527F" w14:textId="5B8381F2" w:rsidR="2718BF61" w:rsidRPr="006A7B63" w:rsidRDefault="2718BF61" w:rsidP="35E15CF7">
      <w:pPr>
        <w:rPr>
          <w:rFonts w:ascii="Times New Roman" w:hAnsi="Times New Roman" w:cs="Times New Roman"/>
        </w:rPr>
      </w:pPr>
      <w:hyperlink r:id="rId31">
        <w:r w:rsidRPr="006A7B63">
          <w:rPr>
            <w:rStyle w:val="Hyperlink"/>
            <w:rFonts w:ascii="Times New Roman" w:hAnsi="Times New Roman" w:cs="Times New Roman"/>
          </w:rPr>
          <w:t>https://sec.gov</w:t>
        </w:r>
      </w:hyperlink>
    </w:p>
    <w:p w14:paraId="42901D00" w14:textId="77777777" w:rsidR="0059119F" w:rsidRPr="006A7B63" w:rsidRDefault="00783E68" w:rsidP="05FA96B4">
      <w:pPr>
        <w:spacing w:after="70" w:line="280" w:lineRule="auto"/>
        <w:rPr>
          <w:rFonts w:ascii="Times New Roman" w:hAnsi="Times New Roman" w:cs="Times New Roman"/>
        </w:rPr>
      </w:pPr>
      <w:r w:rsidRPr="006A7B63">
        <w:rPr>
          <w:rFonts w:ascii="Times New Roman" w:hAnsi="Times New Roman" w:cs="Times New Roman"/>
          <w:color w:val="222222"/>
        </w:rPr>
        <w:t>American Eagle Outfitters, Inc. (2025). AEO Fiscal Year 2024 Annual Report (Form 10-K). U.S. Securities and Exchange Commission. Retrieved from: https://www.sec.gov/cgi-bin/browse-edgar?action=getcompany&amp;CIK=0000919012&amp;type=10-K</w:t>
      </w:r>
    </w:p>
    <w:p w14:paraId="2DB553EE" w14:textId="77777777" w:rsidR="0059119F" w:rsidRPr="006A7B63" w:rsidRDefault="00783E68" w:rsidP="05FA96B4">
      <w:pPr>
        <w:spacing w:after="70" w:line="280" w:lineRule="auto"/>
        <w:rPr>
          <w:rFonts w:ascii="Times New Roman" w:hAnsi="Times New Roman" w:cs="Times New Roman"/>
        </w:rPr>
      </w:pPr>
      <w:r w:rsidRPr="006A7B63">
        <w:rPr>
          <w:rFonts w:ascii="Times New Roman" w:hAnsi="Times New Roman" w:cs="Times New Roman"/>
          <w:color w:val="222222"/>
        </w:rPr>
        <w:t>American Eagle Outfitters, Inc. (2025). Investor Relations. Retrieved from: https://investors.ae.com</w:t>
      </w:r>
    </w:p>
    <w:p w14:paraId="20619D84" w14:textId="77777777" w:rsidR="0059119F" w:rsidRPr="006A7B63" w:rsidRDefault="00783E68" w:rsidP="05FA96B4">
      <w:pPr>
        <w:spacing w:after="70" w:line="280" w:lineRule="auto"/>
        <w:rPr>
          <w:rFonts w:ascii="Times New Roman" w:hAnsi="Times New Roman" w:cs="Times New Roman"/>
        </w:rPr>
      </w:pPr>
      <w:proofErr w:type="spellStart"/>
      <w:r w:rsidRPr="006A7B63">
        <w:rPr>
          <w:rFonts w:ascii="Times New Roman" w:hAnsi="Times New Roman" w:cs="Times New Roman"/>
          <w:color w:val="222222"/>
        </w:rPr>
        <w:t>Falatau</w:t>
      </w:r>
      <w:proofErr w:type="spellEnd"/>
      <w:r w:rsidRPr="006A7B63">
        <w:rPr>
          <w:rFonts w:ascii="Times New Roman" w:hAnsi="Times New Roman" w:cs="Times New Roman"/>
          <w:color w:val="222222"/>
        </w:rPr>
        <w:t xml:space="preserve">, M., </w:t>
      </w:r>
      <w:proofErr w:type="spellStart"/>
      <w:r w:rsidRPr="006A7B63">
        <w:rPr>
          <w:rFonts w:ascii="Times New Roman" w:hAnsi="Times New Roman" w:cs="Times New Roman"/>
          <w:color w:val="222222"/>
        </w:rPr>
        <w:t>Paug</w:t>
      </w:r>
      <w:proofErr w:type="spellEnd"/>
      <w:r w:rsidRPr="006A7B63">
        <w:rPr>
          <w:rFonts w:ascii="Times New Roman" w:hAnsi="Times New Roman" w:cs="Times New Roman"/>
          <w:color w:val="222222"/>
        </w:rPr>
        <w:t xml:space="preserve">, T., &amp; Villaluz, M. (2026). FIN360 – </w:t>
      </w:r>
      <w:proofErr w:type="spellStart"/>
      <w:r w:rsidRPr="006A7B63">
        <w:rPr>
          <w:rFonts w:ascii="Times New Roman" w:hAnsi="Times New Roman" w:cs="Times New Roman"/>
          <w:color w:val="222222"/>
        </w:rPr>
        <w:t>eVal</w:t>
      </w:r>
      <w:proofErr w:type="spellEnd"/>
      <w:r w:rsidRPr="006A7B63">
        <w:rPr>
          <w:rFonts w:ascii="Times New Roman" w:hAnsi="Times New Roman" w:cs="Times New Roman"/>
          <w:color w:val="222222"/>
        </w:rPr>
        <w:t xml:space="preserve"> with Forecast [Excel Model]. FIN360 – Corporate Financial Statement Analysis, Brigham Young University–Hawaii.</w:t>
      </w:r>
    </w:p>
    <w:p w14:paraId="5BE49270" w14:textId="77777777" w:rsidR="0059119F" w:rsidRPr="006A7B63" w:rsidRDefault="00783E68" w:rsidP="05FA96B4">
      <w:pPr>
        <w:spacing w:after="70" w:line="280" w:lineRule="auto"/>
        <w:rPr>
          <w:rFonts w:ascii="Times New Roman" w:hAnsi="Times New Roman" w:cs="Times New Roman"/>
        </w:rPr>
      </w:pPr>
      <w:proofErr w:type="spellStart"/>
      <w:r w:rsidRPr="006A7B63">
        <w:rPr>
          <w:rFonts w:ascii="Times New Roman" w:hAnsi="Times New Roman" w:cs="Times New Roman"/>
          <w:color w:val="222222"/>
        </w:rPr>
        <w:t>Falatau</w:t>
      </w:r>
      <w:proofErr w:type="spellEnd"/>
      <w:r w:rsidRPr="006A7B63">
        <w:rPr>
          <w:rFonts w:ascii="Times New Roman" w:hAnsi="Times New Roman" w:cs="Times New Roman"/>
          <w:color w:val="222222"/>
        </w:rPr>
        <w:t xml:space="preserve">, M., </w:t>
      </w:r>
      <w:proofErr w:type="spellStart"/>
      <w:r w:rsidRPr="006A7B63">
        <w:rPr>
          <w:rFonts w:ascii="Times New Roman" w:hAnsi="Times New Roman" w:cs="Times New Roman"/>
          <w:color w:val="222222"/>
        </w:rPr>
        <w:t>Paug</w:t>
      </w:r>
      <w:proofErr w:type="spellEnd"/>
      <w:r w:rsidRPr="006A7B63">
        <w:rPr>
          <w:rFonts w:ascii="Times New Roman" w:hAnsi="Times New Roman" w:cs="Times New Roman"/>
          <w:color w:val="222222"/>
        </w:rPr>
        <w:t>, T., &amp; Villaluz, M. (2026). FIN360 – Valuation Homework 10 &amp; 11 [Excel Workbook]. FIN360 – Corporate Financial Statement Analysis, Brigham Young University–Hawaii.</w:t>
      </w:r>
    </w:p>
    <w:p w14:paraId="6AD2C972" w14:textId="77777777" w:rsidR="0059119F" w:rsidRPr="006A7B63" w:rsidRDefault="00783E68" w:rsidP="05FA96B4">
      <w:pPr>
        <w:spacing w:after="70" w:line="280" w:lineRule="auto"/>
        <w:rPr>
          <w:rFonts w:ascii="Times New Roman" w:hAnsi="Times New Roman" w:cs="Times New Roman"/>
        </w:rPr>
      </w:pPr>
      <w:r w:rsidRPr="006A7B63">
        <w:rPr>
          <w:rFonts w:ascii="Times New Roman" w:hAnsi="Times New Roman" w:cs="Times New Roman"/>
          <w:color w:val="222222"/>
        </w:rPr>
        <w:t>Villaluz, M. (2026). Explanation for Valuation Homework [Written Assignment]. FIN360 – Corporate Financial Statement Analysis, Brigham Young University–Hawaii.</w:t>
      </w:r>
    </w:p>
    <w:p w14:paraId="1E1F0F5C" w14:textId="07B0EEF7" w:rsidR="35E15CF7" w:rsidRPr="006A7B63" w:rsidRDefault="35E15CF7" w:rsidP="05FA96B4">
      <w:pPr>
        <w:spacing w:after="70" w:line="280" w:lineRule="auto"/>
        <w:rPr>
          <w:rFonts w:ascii="Times New Roman" w:hAnsi="Times New Roman" w:cs="Times New Roman"/>
          <w:color w:val="222222"/>
        </w:rPr>
      </w:pPr>
    </w:p>
    <w:p w14:paraId="0DB0C2FF" w14:textId="1F986CE6" w:rsidR="53C7BED7" w:rsidRPr="006A7B63" w:rsidRDefault="53C7BED7" w:rsidP="05FA96B4">
      <w:pPr>
        <w:spacing w:after="70" w:line="280" w:lineRule="auto"/>
        <w:rPr>
          <w:rFonts w:ascii="Times New Roman" w:hAnsi="Times New Roman" w:cs="Times New Roman"/>
          <w:color w:val="222222"/>
        </w:rPr>
      </w:pPr>
      <w:r w:rsidRPr="006A7B63">
        <w:rPr>
          <w:rFonts w:ascii="Times New Roman" w:hAnsi="Times New Roman" w:cs="Times New Roman"/>
          <w:color w:val="222222"/>
        </w:rPr>
        <w:t>Seeking Alpha</w:t>
      </w:r>
    </w:p>
    <w:p w14:paraId="40E42A59" w14:textId="73036778" w:rsidR="6803491E" w:rsidRPr="006A7B63" w:rsidRDefault="6803491E" w:rsidP="05FA96B4">
      <w:pPr>
        <w:spacing w:after="70" w:line="280" w:lineRule="auto"/>
        <w:rPr>
          <w:rFonts w:ascii="Times New Roman" w:hAnsi="Times New Roman" w:cs="Times New Roman"/>
          <w:color w:val="222222"/>
        </w:rPr>
      </w:pPr>
      <w:hyperlink r:id="rId32">
        <w:r w:rsidRPr="006A7B63">
          <w:rPr>
            <w:rStyle w:val="Hyperlink"/>
            <w:rFonts w:ascii="Times New Roman" w:hAnsi="Times New Roman" w:cs="Times New Roman"/>
          </w:rPr>
          <w:t>https://seekingalpha.com/symbol/AEO/dividends/dividend-growth</w:t>
        </w:r>
      </w:hyperlink>
    </w:p>
    <w:p w14:paraId="314B2EB5" w14:textId="661A2A8F" w:rsidR="0059119F" w:rsidRPr="006A7B63" w:rsidRDefault="0059119F" w:rsidP="05FA96B4">
      <w:pPr>
        <w:spacing w:after="70" w:line="280" w:lineRule="auto"/>
        <w:rPr>
          <w:rFonts w:ascii="Times New Roman" w:hAnsi="Times New Roman" w:cs="Times New Roman"/>
          <w:color w:val="222222"/>
        </w:rPr>
      </w:pPr>
    </w:p>
    <w:sectPr w:rsidR="0059119F" w:rsidRPr="006A7B63">
      <w:headerReference w:type="default" r:id="rId33"/>
      <w:footerReference w:type="default" r:id="rId34"/>
      <w:pgSz w:w="12240" w:h="15840"/>
      <w:pgMar w:top="720" w:right="720" w:bottom="576"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BDE28" w14:textId="77777777" w:rsidR="004E04C3" w:rsidRDefault="004E04C3">
      <w:r>
        <w:separator/>
      </w:r>
    </w:p>
  </w:endnote>
  <w:endnote w:type="continuationSeparator" w:id="0">
    <w:p w14:paraId="005D888C" w14:textId="77777777" w:rsidR="004E04C3" w:rsidRDefault="004E04C3">
      <w:r>
        <w:continuationSeparator/>
      </w:r>
    </w:p>
  </w:endnote>
  <w:endnote w:type="continuationNotice" w:id="1">
    <w:p w14:paraId="46D91DB5" w14:textId="77777777" w:rsidR="004E04C3" w:rsidRDefault="004E04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C52B" w14:textId="0E234F35" w:rsidR="00045689" w:rsidRPr="00045689" w:rsidRDefault="00783E68" w:rsidP="00045689">
    <w:pPr>
      <w:pBdr>
        <w:top w:val="single" w:sz="4" w:space="4" w:color="CCCCCC"/>
      </w:pBdr>
      <w:jc w:val="center"/>
      <w:rPr>
        <w:color w:val="888888"/>
        <w:sz w:val="17"/>
        <w:szCs w:val="17"/>
      </w:rP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AE2985">
      <w:rPr>
        <w:noProof/>
        <w:color w:val="888888"/>
        <w:sz w:val="17"/>
        <w:szCs w:val="17"/>
      </w:rPr>
      <w:t>1</w:t>
    </w:r>
    <w:r>
      <w:rPr>
        <w:color w:val="888888"/>
        <w:sz w:val="17"/>
        <w:szCs w:val="17"/>
      </w:rPr>
      <w:fldChar w:fldCharType="end"/>
    </w:r>
    <w:r>
      <w:rPr>
        <w:color w:val="888888"/>
        <w:sz w:val="17"/>
        <w:szCs w:val="17"/>
      </w:rPr>
      <w:t xml:space="preserve"> | </w:t>
    </w:r>
    <w:r w:rsidR="00045689">
      <w:rPr>
        <w:color w:val="888888"/>
        <w:sz w:val="17"/>
        <w:szCs w:val="17"/>
      </w:rPr>
      <w:t>Final Investment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8CC64" w14:textId="77777777" w:rsidR="004E04C3" w:rsidRDefault="004E04C3">
      <w:r>
        <w:separator/>
      </w:r>
    </w:p>
  </w:footnote>
  <w:footnote w:type="continuationSeparator" w:id="0">
    <w:p w14:paraId="1110C281" w14:textId="77777777" w:rsidR="004E04C3" w:rsidRDefault="004E04C3">
      <w:r>
        <w:continuationSeparator/>
      </w:r>
    </w:p>
  </w:footnote>
  <w:footnote w:type="continuationNotice" w:id="1">
    <w:p w14:paraId="3DCA2D30" w14:textId="77777777" w:rsidR="004E04C3" w:rsidRDefault="004E04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DD6C" w14:textId="77777777" w:rsidR="0059119F" w:rsidRDefault="00783E68">
    <w:pPr>
      <w:pBdr>
        <w:bottom w:val="single" w:sz="4" w:space="4" w:color="CCCCCC"/>
      </w:pBdr>
    </w:pPr>
    <w:r>
      <w:rPr>
        <w:color w:val="888888"/>
        <w:sz w:val="17"/>
        <w:szCs w:val="17"/>
      </w:rPr>
      <w:t>American Eagle Outfitters – Final Investment Proposal | FIN360 | BYUH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0EA3"/>
    <w:multiLevelType w:val="hybridMultilevel"/>
    <w:tmpl w:val="4B8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21AB4"/>
    <w:multiLevelType w:val="hybridMultilevel"/>
    <w:tmpl w:val="2F66B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113BA"/>
    <w:multiLevelType w:val="hybridMultilevel"/>
    <w:tmpl w:val="F4F4D9BA"/>
    <w:lvl w:ilvl="0" w:tplc="660674F6">
      <w:start w:val="1"/>
      <w:numFmt w:val="bullet"/>
      <w:lvlText w:val="•"/>
      <w:lvlJc w:val="left"/>
      <w:pPr>
        <w:ind w:left="720" w:hanging="360"/>
      </w:pPr>
    </w:lvl>
    <w:lvl w:ilvl="1" w:tplc="7FD0F39A">
      <w:numFmt w:val="decimal"/>
      <w:lvlText w:val=""/>
      <w:lvlJc w:val="left"/>
    </w:lvl>
    <w:lvl w:ilvl="2" w:tplc="F2E6F9B2">
      <w:numFmt w:val="decimal"/>
      <w:lvlText w:val=""/>
      <w:lvlJc w:val="left"/>
    </w:lvl>
    <w:lvl w:ilvl="3" w:tplc="ECAADECC">
      <w:numFmt w:val="decimal"/>
      <w:lvlText w:val=""/>
      <w:lvlJc w:val="left"/>
    </w:lvl>
    <w:lvl w:ilvl="4" w:tplc="E3CA8252">
      <w:numFmt w:val="decimal"/>
      <w:lvlText w:val=""/>
      <w:lvlJc w:val="left"/>
    </w:lvl>
    <w:lvl w:ilvl="5" w:tplc="2522F162">
      <w:numFmt w:val="decimal"/>
      <w:lvlText w:val=""/>
      <w:lvlJc w:val="left"/>
    </w:lvl>
    <w:lvl w:ilvl="6" w:tplc="BF907434">
      <w:numFmt w:val="decimal"/>
      <w:lvlText w:val=""/>
      <w:lvlJc w:val="left"/>
    </w:lvl>
    <w:lvl w:ilvl="7" w:tplc="59102674">
      <w:numFmt w:val="decimal"/>
      <w:lvlText w:val=""/>
      <w:lvlJc w:val="left"/>
    </w:lvl>
    <w:lvl w:ilvl="8" w:tplc="A1AA8F10">
      <w:numFmt w:val="decimal"/>
      <w:lvlText w:val=""/>
      <w:lvlJc w:val="left"/>
    </w:lvl>
  </w:abstractNum>
  <w:abstractNum w:abstractNumId="3" w15:restartNumberingAfterBreak="0">
    <w:nsid w:val="3A6C75C5"/>
    <w:multiLevelType w:val="hybridMultilevel"/>
    <w:tmpl w:val="A620AF38"/>
    <w:lvl w:ilvl="0" w:tplc="62745EB4">
      <w:start w:val="1"/>
      <w:numFmt w:val="bullet"/>
      <w:lvlText w:val="•"/>
      <w:lvlJc w:val="left"/>
      <w:pPr>
        <w:ind w:left="720" w:hanging="360"/>
      </w:pPr>
    </w:lvl>
    <w:lvl w:ilvl="1" w:tplc="BDC6F4B6">
      <w:numFmt w:val="decimal"/>
      <w:lvlText w:val=""/>
      <w:lvlJc w:val="left"/>
    </w:lvl>
    <w:lvl w:ilvl="2" w:tplc="6EDA1514">
      <w:numFmt w:val="decimal"/>
      <w:lvlText w:val=""/>
      <w:lvlJc w:val="left"/>
    </w:lvl>
    <w:lvl w:ilvl="3" w:tplc="E61A102E">
      <w:numFmt w:val="decimal"/>
      <w:lvlText w:val=""/>
      <w:lvlJc w:val="left"/>
    </w:lvl>
    <w:lvl w:ilvl="4" w:tplc="3968A2FE">
      <w:numFmt w:val="decimal"/>
      <w:lvlText w:val=""/>
      <w:lvlJc w:val="left"/>
    </w:lvl>
    <w:lvl w:ilvl="5" w:tplc="6040DBCA">
      <w:numFmt w:val="decimal"/>
      <w:lvlText w:val=""/>
      <w:lvlJc w:val="left"/>
    </w:lvl>
    <w:lvl w:ilvl="6" w:tplc="5D5E7986">
      <w:numFmt w:val="decimal"/>
      <w:lvlText w:val=""/>
      <w:lvlJc w:val="left"/>
    </w:lvl>
    <w:lvl w:ilvl="7" w:tplc="A1720346">
      <w:numFmt w:val="decimal"/>
      <w:lvlText w:val=""/>
      <w:lvlJc w:val="left"/>
    </w:lvl>
    <w:lvl w:ilvl="8" w:tplc="03F64618">
      <w:numFmt w:val="decimal"/>
      <w:lvlText w:val=""/>
      <w:lvlJc w:val="left"/>
    </w:lvl>
  </w:abstractNum>
  <w:abstractNum w:abstractNumId="4" w15:restartNumberingAfterBreak="0">
    <w:nsid w:val="3D7D2B90"/>
    <w:multiLevelType w:val="hybridMultilevel"/>
    <w:tmpl w:val="FC1C4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2E6564"/>
    <w:multiLevelType w:val="hybridMultilevel"/>
    <w:tmpl w:val="F670CA7C"/>
    <w:lvl w:ilvl="0" w:tplc="921CD36C">
      <w:start w:val="1"/>
      <w:numFmt w:val="bullet"/>
      <w:lvlText w:val="●"/>
      <w:lvlJc w:val="left"/>
      <w:pPr>
        <w:ind w:left="720" w:hanging="360"/>
      </w:pPr>
    </w:lvl>
    <w:lvl w:ilvl="1" w:tplc="63C8871A">
      <w:start w:val="1"/>
      <w:numFmt w:val="bullet"/>
      <w:lvlText w:val="○"/>
      <w:lvlJc w:val="left"/>
      <w:pPr>
        <w:ind w:left="1440" w:hanging="360"/>
      </w:pPr>
    </w:lvl>
    <w:lvl w:ilvl="2" w:tplc="6852AFF4">
      <w:start w:val="1"/>
      <w:numFmt w:val="bullet"/>
      <w:lvlText w:val="■"/>
      <w:lvlJc w:val="left"/>
      <w:pPr>
        <w:ind w:left="2160" w:hanging="360"/>
      </w:pPr>
    </w:lvl>
    <w:lvl w:ilvl="3" w:tplc="C2A239BE">
      <w:start w:val="1"/>
      <w:numFmt w:val="bullet"/>
      <w:lvlText w:val="●"/>
      <w:lvlJc w:val="left"/>
      <w:pPr>
        <w:ind w:left="2880" w:hanging="360"/>
      </w:pPr>
    </w:lvl>
    <w:lvl w:ilvl="4" w:tplc="A8F42764">
      <w:start w:val="1"/>
      <w:numFmt w:val="bullet"/>
      <w:lvlText w:val="○"/>
      <w:lvlJc w:val="left"/>
      <w:pPr>
        <w:ind w:left="3600" w:hanging="360"/>
      </w:pPr>
    </w:lvl>
    <w:lvl w:ilvl="5" w:tplc="7846730C">
      <w:start w:val="1"/>
      <w:numFmt w:val="bullet"/>
      <w:lvlText w:val="■"/>
      <w:lvlJc w:val="left"/>
      <w:pPr>
        <w:ind w:left="4320" w:hanging="360"/>
      </w:pPr>
    </w:lvl>
    <w:lvl w:ilvl="6" w:tplc="FF76F656">
      <w:start w:val="1"/>
      <w:numFmt w:val="bullet"/>
      <w:lvlText w:val="●"/>
      <w:lvlJc w:val="left"/>
      <w:pPr>
        <w:ind w:left="5040" w:hanging="360"/>
      </w:pPr>
    </w:lvl>
    <w:lvl w:ilvl="7" w:tplc="DB1AFF88">
      <w:start w:val="1"/>
      <w:numFmt w:val="bullet"/>
      <w:lvlText w:val="●"/>
      <w:lvlJc w:val="left"/>
      <w:pPr>
        <w:ind w:left="5760" w:hanging="360"/>
      </w:pPr>
    </w:lvl>
    <w:lvl w:ilvl="8" w:tplc="AB0ECA92">
      <w:start w:val="1"/>
      <w:numFmt w:val="bullet"/>
      <w:lvlText w:val="●"/>
      <w:lvlJc w:val="left"/>
      <w:pPr>
        <w:ind w:left="6480" w:hanging="360"/>
      </w:pPr>
    </w:lvl>
  </w:abstractNum>
  <w:abstractNum w:abstractNumId="6" w15:restartNumberingAfterBreak="0">
    <w:nsid w:val="70802014"/>
    <w:multiLevelType w:val="hybridMultilevel"/>
    <w:tmpl w:val="8DA2E0D4"/>
    <w:lvl w:ilvl="0" w:tplc="A504FEEE">
      <w:start w:val="1"/>
      <w:numFmt w:val="bullet"/>
      <w:lvlText w:val="•"/>
      <w:lvlJc w:val="left"/>
      <w:pPr>
        <w:ind w:left="720" w:hanging="360"/>
      </w:pPr>
    </w:lvl>
    <w:lvl w:ilvl="1" w:tplc="88022A0E">
      <w:numFmt w:val="decimal"/>
      <w:lvlText w:val=""/>
      <w:lvlJc w:val="left"/>
    </w:lvl>
    <w:lvl w:ilvl="2" w:tplc="A2843768">
      <w:numFmt w:val="decimal"/>
      <w:lvlText w:val=""/>
      <w:lvlJc w:val="left"/>
    </w:lvl>
    <w:lvl w:ilvl="3" w:tplc="E098D146">
      <w:numFmt w:val="decimal"/>
      <w:lvlText w:val=""/>
      <w:lvlJc w:val="left"/>
    </w:lvl>
    <w:lvl w:ilvl="4" w:tplc="1D7C80A0">
      <w:numFmt w:val="decimal"/>
      <w:lvlText w:val=""/>
      <w:lvlJc w:val="left"/>
    </w:lvl>
    <w:lvl w:ilvl="5" w:tplc="D9E4B90C">
      <w:numFmt w:val="decimal"/>
      <w:lvlText w:val=""/>
      <w:lvlJc w:val="left"/>
    </w:lvl>
    <w:lvl w:ilvl="6" w:tplc="92009250">
      <w:numFmt w:val="decimal"/>
      <w:lvlText w:val=""/>
      <w:lvlJc w:val="left"/>
    </w:lvl>
    <w:lvl w:ilvl="7" w:tplc="99806D96">
      <w:numFmt w:val="decimal"/>
      <w:lvlText w:val=""/>
      <w:lvlJc w:val="left"/>
    </w:lvl>
    <w:lvl w:ilvl="8" w:tplc="A6CE9D96">
      <w:numFmt w:val="decimal"/>
      <w:lvlText w:val=""/>
      <w:lvlJc w:val="left"/>
    </w:lvl>
  </w:abstractNum>
  <w:abstractNum w:abstractNumId="7" w15:restartNumberingAfterBreak="0">
    <w:nsid w:val="79016FEE"/>
    <w:multiLevelType w:val="hybridMultilevel"/>
    <w:tmpl w:val="BB6C9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8165A7"/>
    <w:multiLevelType w:val="hybridMultilevel"/>
    <w:tmpl w:val="E9D4FB16"/>
    <w:lvl w:ilvl="0" w:tplc="0D6A0522">
      <w:start w:val="1"/>
      <w:numFmt w:val="bullet"/>
      <w:lvlText w:val="•"/>
      <w:lvlJc w:val="left"/>
      <w:pPr>
        <w:ind w:left="720" w:hanging="360"/>
      </w:pPr>
    </w:lvl>
    <w:lvl w:ilvl="1" w:tplc="2876A448">
      <w:numFmt w:val="decimal"/>
      <w:lvlText w:val=""/>
      <w:lvlJc w:val="left"/>
    </w:lvl>
    <w:lvl w:ilvl="2" w:tplc="EE1428D2">
      <w:numFmt w:val="decimal"/>
      <w:lvlText w:val=""/>
      <w:lvlJc w:val="left"/>
    </w:lvl>
    <w:lvl w:ilvl="3" w:tplc="4B4C2442">
      <w:numFmt w:val="decimal"/>
      <w:lvlText w:val=""/>
      <w:lvlJc w:val="left"/>
    </w:lvl>
    <w:lvl w:ilvl="4" w:tplc="3994473C">
      <w:numFmt w:val="decimal"/>
      <w:lvlText w:val=""/>
      <w:lvlJc w:val="left"/>
    </w:lvl>
    <w:lvl w:ilvl="5" w:tplc="311ED488">
      <w:numFmt w:val="decimal"/>
      <w:lvlText w:val=""/>
      <w:lvlJc w:val="left"/>
    </w:lvl>
    <w:lvl w:ilvl="6" w:tplc="130E66D4">
      <w:numFmt w:val="decimal"/>
      <w:lvlText w:val=""/>
      <w:lvlJc w:val="left"/>
    </w:lvl>
    <w:lvl w:ilvl="7" w:tplc="36408C02">
      <w:numFmt w:val="decimal"/>
      <w:lvlText w:val=""/>
      <w:lvlJc w:val="left"/>
    </w:lvl>
    <w:lvl w:ilvl="8" w:tplc="9C7252E8">
      <w:numFmt w:val="decimal"/>
      <w:lvlText w:val=""/>
      <w:lvlJc w:val="left"/>
    </w:lvl>
  </w:abstractNum>
  <w:num w:numId="1" w16cid:durableId="1346597495">
    <w:abstractNumId w:val="5"/>
    <w:lvlOverride w:ilvl="0">
      <w:startOverride w:val="1"/>
    </w:lvlOverride>
  </w:num>
  <w:num w:numId="2" w16cid:durableId="176430719">
    <w:abstractNumId w:val="6"/>
    <w:lvlOverride w:ilvl="0">
      <w:startOverride w:val="1"/>
    </w:lvlOverride>
  </w:num>
  <w:num w:numId="3" w16cid:durableId="128861265">
    <w:abstractNumId w:val="0"/>
  </w:num>
  <w:num w:numId="4" w16cid:durableId="1597206258">
    <w:abstractNumId w:val="1"/>
  </w:num>
  <w:num w:numId="5" w16cid:durableId="1972130774">
    <w:abstractNumId w:val="3"/>
    <w:lvlOverride w:ilvl="0">
      <w:startOverride w:val="1"/>
    </w:lvlOverride>
  </w:num>
  <w:num w:numId="6" w16cid:durableId="1179343876">
    <w:abstractNumId w:val="4"/>
  </w:num>
  <w:num w:numId="7" w16cid:durableId="1214124409">
    <w:abstractNumId w:val="7"/>
  </w:num>
  <w:num w:numId="8" w16cid:durableId="1691099656">
    <w:abstractNumId w:val="8"/>
    <w:lvlOverride w:ilvl="0">
      <w:startOverride w:val="1"/>
    </w:lvlOverride>
  </w:num>
  <w:num w:numId="9" w16cid:durableId="17583612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9F"/>
    <w:rsid w:val="00004F21"/>
    <w:rsid w:val="000060E3"/>
    <w:rsid w:val="00006EA2"/>
    <w:rsid w:val="00010D8D"/>
    <w:rsid w:val="00012C65"/>
    <w:rsid w:val="000137E9"/>
    <w:rsid w:val="00031654"/>
    <w:rsid w:val="00045689"/>
    <w:rsid w:val="00045FBD"/>
    <w:rsid w:val="000570D7"/>
    <w:rsid w:val="00062A59"/>
    <w:rsid w:val="00063F5F"/>
    <w:rsid w:val="00081D46"/>
    <w:rsid w:val="00094408"/>
    <w:rsid w:val="000A5B9C"/>
    <w:rsid w:val="000A6CA2"/>
    <w:rsid w:val="000B2707"/>
    <w:rsid w:val="000C0D6C"/>
    <w:rsid w:val="000D2FE9"/>
    <w:rsid w:val="000E2F5C"/>
    <w:rsid w:val="00100ED6"/>
    <w:rsid w:val="001114BB"/>
    <w:rsid w:val="00117682"/>
    <w:rsid w:val="00125275"/>
    <w:rsid w:val="0012595B"/>
    <w:rsid w:val="00133A0A"/>
    <w:rsid w:val="0013667E"/>
    <w:rsid w:val="00150B0E"/>
    <w:rsid w:val="00155E0F"/>
    <w:rsid w:val="00161C9D"/>
    <w:rsid w:val="001630C9"/>
    <w:rsid w:val="00164FFE"/>
    <w:rsid w:val="0017373E"/>
    <w:rsid w:val="00175D76"/>
    <w:rsid w:val="00176788"/>
    <w:rsid w:val="00183A51"/>
    <w:rsid w:val="00197E57"/>
    <w:rsid w:val="001B260E"/>
    <w:rsid w:val="001C04AC"/>
    <w:rsid w:val="001C73DC"/>
    <w:rsid w:val="001D1008"/>
    <w:rsid w:val="001E544E"/>
    <w:rsid w:val="001F31CA"/>
    <w:rsid w:val="0021223D"/>
    <w:rsid w:val="00216386"/>
    <w:rsid w:val="00221C9E"/>
    <w:rsid w:val="00231187"/>
    <w:rsid w:val="0023265D"/>
    <w:rsid w:val="00250B8A"/>
    <w:rsid w:val="0025661F"/>
    <w:rsid w:val="00270C6A"/>
    <w:rsid w:val="00280935"/>
    <w:rsid w:val="00282E57"/>
    <w:rsid w:val="00290A88"/>
    <w:rsid w:val="002946A5"/>
    <w:rsid w:val="002A23A1"/>
    <w:rsid w:val="002C3B9F"/>
    <w:rsid w:val="002D2A87"/>
    <w:rsid w:val="002D34C4"/>
    <w:rsid w:val="002D39F1"/>
    <w:rsid w:val="002D4384"/>
    <w:rsid w:val="002E0B6B"/>
    <w:rsid w:val="002E530C"/>
    <w:rsid w:val="003066DD"/>
    <w:rsid w:val="00310B1D"/>
    <w:rsid w:val="00311833"/>
    <w:rsid w:val="00345FE7"/>
    <w:rsid w:val="00375F1E"/>
    <w:rsid w:val="00381400"/>
    <w:rsid w:val="003B349B"/>
    <w:rsid w:val="003B526F"/>
    <w:rsid w:val="003D2B65"/>
    <w:rsid w:val="003D707A"/>
    <w:rsid w:val="003F1B91"/>
    <w:rsid w:val="00405B07"/>
    <w:rsid w:val="0043316E"/>
    <w:rsid w:val="004452C2"/>
    <w:rsid w:val="00455ED9"/>
    <w:rsid w:val="0046158F"/>
    <w:rsid w:val="00472A86"/>
    <w:rsid w:val="00473D60"/>
    <w:rsid w:val="0047474E"/>
    <w:rsid w:val="00474F19"/>
    <w:rsid w:val="00485033"/>
    <w:rsid w:val="004872D9"/>
    <w:rsid w:val="0048BD89"/>
    <w:rsid w:val="00490507"/>
    <w:rsid w:val="00491D13"/>
    <w:rsid w:val="004A1908"/>
    <w:rsid w:val="004E04C3"/>
    <w:rsid w:val="005033F6"/>
    <w:rsid w:val="00521391"/>
    <w:rsid w:val="00524012"/>
    <w:rsid w:val="0052432F"/>
    <w:rsid w:val="00531040"/>
    <w:rsid w:val="00532EF5"/>
    <w:rsid w:val="00552D93"/>
    <w:rsid w:val="00562CAD"/>
    <w:rsid w:val="00575E4C"/>
    <w:rsid w:val="00583B89"/>
    <w:rsid w:val="00590CF5"/>
    <w:rsid w:val="0059119F"/>
    <w:rsid w:val="00597DAC"/>
    <w:rsid w:val="005B1C3D"/>
    <w:rsid w:val="005B666C"/>
    <w:rsid w:val="005B6A6B"/>
    <w:rsid w:val="005C4C16"/>
    <w:rsid w:val="005C5915"/>
    <w:rsid w:val="005C5B50"/>
    <w:rsid w:val="005D1701"/>
    <w:rsid w:val="005E1B85"/>
    <w:rsid w:val="006103BB"/>
    <w:rsid w:val="0061067E"/>
    <w:rsid w:val="00613311"/>
    <w:rsid w:val="0061354B"/>
    <w:rsid w:val="00626B4B"/>
    <w:rsid w:val="006356E2"/>
    <w:rsid w:val="00646E85"/>
    <w:rsid w:val="00657909"/>
    <w:rsid w:val="0067097A"/>
    <w:rsid w:val="006709B6"/>
    <w:rsid w:val="00685E9B"/>
    <w:rsid w:val="006900D1"/>
    <w:rsid w:val="006A1F8A"/>
    <w:rsid w:val="006A3352"/>
    <w:rsid w:val="006A7B63"/>
    <w:rsid w:val="006B790B"/>
    <w:rsid w:val="006C2A8E"/>
    <w:rsid w:val="006D05E5"/>
    <w:rsid w:val="006D2ECD"/>
    <w:rsid w:val="006E24B6"/>
    <w:rsid w:val="006F1E00"/>
    <w:rsid w:val="00752CB2"/>
    <w:rsid w:val="007621C3"/>
    <w:rsid w:val="00763105"/>
    <w:rsid w:val="007647C7"/>
    <w:rsid w:val="00783E68"/>
    <w:rsid w:val="00794ADF"/>
    <w:rsid w:val="00796970"/>
    <w:rsid w:val="007A1105"/>
    <w:rsid w:val="007B0A7C"/>
    <w:rsid w:val="007C16B7"/>
    <w:rsid w:val="007F28E9"/>
    <w:rsid w:val="007F56A8"/>
    <w:rsid w:val="00821EB2"/>
    <w:rsid w:val="00823846"/>
    <w:rsid w:val="00841805"/>
    <w:rsid w:val="008433EB"/>
    <w:rsid w:val="008476E6"/>
    <w:rsid w:val="00864B15"/>
    <w:rsid w:val="008812C8"/>
    <w:rsid w:val="00895396"/>
    <w:rsid w:val="008A224C"/>
    <w:rsid w:val="008A6207"/>
    <w:rsid w:val="008B6E95"/>
    <w:rsid w:val="008D5CAC"/>
    <w:rsid w:val="00902EFF"/>
    <w:rsid w:val="009275E3"/>
    <w:rsid w:val="00930297"/>
    <w:rsid w:val="00953677"/>
    <w:rsid w:val="00973D1C"/>
    <w:rsid w:val="00980055"/>
    <w:rsid w:val="009963ED"/>
    <w:rsid w:val="009B3F35"/>
    <w:rsid w:val="009B69D4"/>
    <w:rsid w:val="009D25D8"/>
    <w:rsid w:val="009D2E02"/>
    <w:rsid w:val="009F4834"/>
    <w:rsid w:val="00A41AD4"/>
    <w:rsid w:val="00A41EAA"/>
    <w:rsid w:val="00A426E6"/>
    <w:rsid w:val="00A52BDA"/>
    <w:rsid w:val="00A56AD3"/>
    <w:rsid w:val="00A6439B"/>
    <w:rsid w:val="00A65D1B"/>
    <w:rsid w:val="00A8731D"/>
    <w:rsid w:val="00A95482"/>
    <w:rsid w:val="00AC6120"/>
    <w:rsid w:val="00AE1ED3"/>
    <w:rsid w:val="00AE2985"/>
    <w:rsid w:val="00AE57B1"/>
    <w:rsid w:val="00AF1B45"/>
    <w:rsid w:val="00B12514"/>
    <w:rsid w:val="00B147BD"/>
    <w:rsid w:val="00B26539"/>
    <w:rsid w:val="00B35AE4"/>
    <w:rsid w:val="00B70383"/>
    <w:rsid w:val="00B70F24"/>
    <w:rsid w:val="00B715CD"/>
    <w:rsid w:val="00B752EB"/>
    <w:rsid w:val="00B834C9"/>
    <w:rsid w:val="00B942CD"/>
    <w:rsid w:val="00B95950"/>
    <w:rsid w:val="00BE0445"/>
    <w:rsid w:val="00BE6AB4"/>
    <w:rsid w:val="00BF2E7F"/>
    <w:rsid w:val="00C00358"/>
    <w:rsid w:val="00C12E12"/>
    <w:rsid w:val="00C267DC"/>
    <w:rsid w:val="00C50BA4"/>
    <w:rsid w:val="00C65691"/>
    <w:rsid w:val="00C710EF"/>
    <w:rsid w:val="00C84C06"/>
    <w:rsid w:val="00C92915"/>
    <w:rsid w:val="00C96F41"/>
    <w:rsid w:val="00CC3FE8"/>
    <w:rsid w:val="00CC7851"/>
    <w:rsid w:val="00CD0560"/>
    <w:rsid w:val="00CD691D"/>
    <w:rsid w:val="00D0139B"/>
    <w:rsid w:val="00D04D30"/>
    <w:rsid w:val="00D215CE"/>
    <w:rsid w:val="00D23CEC"/>
    <w:rsid w:val="00D64E16"/>
    <w:rsid w:val="00D862A5"/>
    <w:rsid w:val="00DB3500"/>
    <w:rsid w:val="00DF44B4"/>
    <w:rsid w:val="00DF4773"/>
    <w:rsid w:val="00E015C5"/>
    <w:rsid w:val="00E215CA"/>
    <w:rsid w:val="00E22F4D"/>
    <w:rsid w:val="00E341F6"/>
    <w:rsid w:val="00E55B85"/>
    <w:rsid w:val="00E72076"/>
    <w:rsid w:val="00E744D4"/>
    <w:rsid w:val="00E866D6"/>
    <w:rsid w:val="00E9733B"/>
    <w:rsid w:val="00EA47FD"/>
    <w:rsid w:val="00EA7205"/>
    <w:rsid w:val="00EB0549"/>
    <w:rsid w:val="00ED2124"/>
    <w:rsid w:val="00ED3F03"/>
    <w:rsid w:val="00ED6031"/>
    <w:rsid w:val="00ED60FC"/>
    <w:rsid w:val="00EE1D11"/>
    <w:rsid w:val="00EF6478"/>
    <w:rsid w:val="00F00E6A"/>
    <w:rsid w:val="00F04A3B"/>
    <w:rsid w:val="00F04E00"/>
    <w:rsid w:val="00F0502C"/>
    <w:rsid w:val="00F057FE"/>
    <w:rsid w:val="00F068F3"/>
    <w:rsid w:val="00F12A35"/>
    <w:rsid w:val="00F1539D"/>
    <w:rsid w:val="00F214E0"/>
    <w:rsid w:val="00F515A3"/>
    <w:rsid w:val="00F668AA"/>
    <w:rsid w:val="00F73642"/>
    <w:rsid w:val="00F7738F"/>
    <w:rsid w:val="00F85B07"/>
    <w:rsid w:val="00FA0E90"/>
    <w:rsid w:val="00FB0D0E"/>
    <w:rsid w:val="00FB19AB"/>
    <w:rsid w:val="00FC5925"/>
    <w:rsid w:val="00FD77D8"/>
    <w:rsid w:val="00FE2C8B"/>
    <w:rsid w:val="0211F6F7"/>
    <w:rsid w:val="02A7A37E"/>
    <w:rsid w:val="02BA5CC7"/>
    <w:rsid w:val="03D8FE8A"/>
    <w:rsid w:val="053022D8"/>
    <w:rsid w:val="05FA96B4"/>
    <w:rsid w:val="07C4FA19"/>
    <w:rsid w:val="0C2CAE50"/>
    <w:rsid w:val="0DC5BDF7"/>
    <w:rsid w:val="0E82B553"/>
    <w:rsid w:val="0EC02322"/>
    <w:rsid w:val="0EF71BBA"/>
    <w:rsid w:val="0FA50E58"/>
    <w:rsid w:val="0FE4D194"/>
    <w:rsid w:val="12C41C07"/>
    <w:rsid w:val="140D6FE9"/>
    <w:rsid w:val="155F08FA"/>
    <w:rsid w:val="17001584"/>
    <w:rsid w:val="1982144B"/>
    <w:rsid w:val="1B6E2A60"/>
    <w:rsid w:val="1B84D0C5"/>
    <w:rsid w:val="1BDB2420"/>
    <w:rsid w:val="1BF21779"/>
    <w:rsid w:val="1DFDC5DA"/>
    <w:rsid w:val="1EFE6CE1"/>
    <w:rsid w:val="1F095FE8"/>
    <w:rsid w:val="1F2D67AA"/>
    <w:rsid w:val="21244CD0"/>
    <w:rsid w:val="222D74C0"/>
    <w:rsid w:val="24A65777"/>
    <w:rsid w:val="25ED9412"/>
    <w:rsid w:val="263CE275"/>
    <w:rsid w:val="2718BF61"/>
    <w:rsid w:val="27526C64"/>
    <w:rsid w:val="2811268A"/>
    <w:rsid w:val="291A1F7B"/>
    <w:rsid w:val="294B000B"/>
    <w:rsid w:val="2BF4FA23"/>
    <w:rsid w:val="2CD66A14"/>
    <w:rsid w:val="2D6CCCBB"/>
    <w:rsid w:val="2EB5610D"/>
    <w:rsid w:val="3078FBEA"/>
    <w:rsid w:val="30E57E40"/>
    <w:rsid w:val="31EEE40C"/>
    <w:rsid w:val="3273C3AD"/>
    <w:rsid w:val="344B08F7"/>
    <w:rsid w:val="3523558B"/>
    <w:rsid w:val="35E15CF7"/>
    <w:rsid w:val="36DA3427"/>
    <w:rsid w:val="3814E977"/>
    <w:rsid w:val="39B43A4E"/>
    <w:rsid w:val="3AC4DE55"/>
    <w:rsid w:val="3BC4502C"/>
    <w:rsid w:val="3BC555A2"/>
    <w:rsid w:val="3DBBE32B"/>
    <w:rsid w:val="3E5F87D2"/>
    <w:rsid w:val="3E7F22E7"/>
    <w:rsid w:val="3EE0B3D9"/>
    <w:rsid w:val="3EF050B0"/>
    <w:rsid w:val="3F4FCA67"/>
    <w:rsid w:val="409B8E69"/>
    <w:rsid w:val="40BB2D28"/>
    <w:rsid w:val="41613653"/>
    <w:rsid w:val="420A8A4A"/>
    <w:rsid w:val="44294BDF"/>
    <w:rsid w:val="449E3757"/>
    <w:rsid w:val="44D5337F"/>
    <w:rsid w:val="464A2A90"/>
    <w:rsid w:val="471E161F"/>
    <w:rsid w:val="473D3E70"/>
    <w:rsid w:val="47D55C28"/>
    <w:rsid w:val="49CC2002"/>
    <w:rsid w:val="4B58677E"/>
    <w:rsid w:val="4BB109E6"/>
    <w:rsid w:val="4C73B720"/>
    <w:rsid w:val="4CD61E70"/>
    <w:rsid w:val="4D5D3472"/>
    <w:rsid w:val="4D828B02"/>
    <w:rsid w:val="4ECFA5A1"/>
    <w:rsid w:val="4EF5F96B"/>
    <w:rsid w:val="4FDC3F20"/>
    <w:rsid w:val="4FED1A1A"/>
    <w:rsid w:val="5051F044"/>
    <w:rsid w:val="51D61AD4"/>
    <w:rsid w:val="51ED8FCC"/>
    <w:rsid w:val="524B274E"/>
    <w:rsid w:val="528F2509"/>
    <w:rsid w:val="52AB5BA8"/>
    <w:rsid w:val="537F39F7"/>
    <w:rsid w:val="53AAD00E"/>
    <w:rsid w:val="53C7BED7"/>
    <w:rsid w:val="5494111D"/>
    <w:rsid w:val="553E934A"/>
    <w:rsid w:val="568A73EE"/>
    <w:rsid w:val="576E3919"/>
    <w:rsid w:val="585F38A3"/>
    <w:rsid w:val="59815234"/>
    <w:rsid w:val="5B85F3E5"/>
    <w:rsid w:val="5B8AEF1A"/>
    <w:rsid w:val="5D98F868"/>
    <w:rsid w:val="60074D44"/>
    <w:rsid w:val="6123C976"/>
    <w:rsid w:val="6188E93C"/>
    <w:rsid w:val="628B0EC0"/>
    <w:rsid w:val="63C6429A"/>
    <w:rsid w:val="6406711C"/>
    <w:rsid w:val="6478ABF0"/>
    <w:rsid w:val="64CEF5A4"/>
    <w:rsid w:val="6543E8ED"/>
    <w:rsid w:val="67F7CE51"/>
    <w:rsid w:val="6803491E"/>
    <w:rsid w:val="6928464B"/>
    <w:rsid w:val="6B1C4FD8"/>
    <w:rsid w:val="6BB29CE6"/>
    <w:rsid w:val="6F45D15B"/>
    <w:rsid w:val="71A1934C"/>
    <w:rsid w:val="738F6188"/>
    <w:rsid w:val="74541442"/>
    <w:rsid w:val="745ED32E"/>
    <w:rsid w:val="748EEEB6"/>
    <w:rsid w:val="755ED920"/>
    <w:rsid w:val="7583CAC9"/>
    <w:rsid w:val="761B5DFD"/>
    <w:rsid w:val="76EBF212"/>
    <w:rsid w:val="7705C542"/>
    <w:rsid w:val="78E807CE"/>
    <w:rsid w:val="79C82083"/>
    <w:rsid w:val="7A3CF176"/>
    <w:rsid w:val="7F03F541"/>
    <w:rsid w:val="7F6C4AD8"/>
    <w:rsid w:val="7F9DE7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2256"/>
  <w15:docId w15:val="{B0F3BD79-3CEC-4F71-96FA-5F9DBF3C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B3A6B"/>
      <w:sz w:val="28"/>
      <w:szCs w:val="28"/>
    </w:rPr>
  </w:style>
  <w:style w:type="paragraph" w:styleId="Heading2">
    <w:name w:val="heading 2"/>
    <w:uiPriority w:val="9"/>
    <w:unhideWhenUsed/>
    <w:qFormat/>
    <w:pPr>
      <w:spacing w:before="220" w:after="70"/>
      <w:outlineLvl w:val="1"/>
    </w:pPr>
    <w:rPr>
      <w:b/>
      <w:bCs/>
      <w:color w:val="2C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224C"/>
    <w:pPr>
      <w:tabs>
        <w:tab w:val="center" w:pos="4680"/>
        <w:tab w:val="right" w:pos="9360"/>
      </w:tabs>
    </w:pPr>
  </w:style>
  <w:style w:type="character" w:customStyle="1" w:styleId="HeaderChar">
    <w:name w:val="Header Char"/>
    <w:basedOn w:val="DefaultParagraphFont"/>
    <w:link w:val="Header"/>
    <w:uiPriority w:val="99"/>
    <w:rsid w:val="008A224C"/>
  </w:style>
  <w:style w:type="paragraph" w:styleId="Footer">
    <w:name w:val="footer"/>
    <w:basedOn w:val="Normal"/>
    <w:link w:val="FooterChar"/>
    <w:uiPriority w:val="99"/>
    <w:unhideWhenUsed/>
    <w:rsid w:val="008A224C"/>
    <w:pPr>
      <w:tabs>
        <w:tab w:val="center" w:pos="4680"/>
        <w:tab w:val="right" w:pos="9360"/>
      </w:tabs>
    </w:pPr>
  </w:style>
  <w:style w:type="character" w:customStyle="1" w:styleId="FooterChar">
    <w:name w:val="Footer Char"/>
    <w:basedOn w:val="DefaultParagraphFont"/>
    <w:link w:val="Footer"/>
    <w:uiPriority w:val="99"/>
    <w:rsid w:val="008A2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712075">
      <w:bodyDiv w:val="1"/>
      <w:marLeft w:val="0"/>
      <w:marRight w:val="0"/>
      <w:marTop w:val="0"/>
      <w:marBottom w:val="0"/>
      <w:divBdr>
        <w:top w:val="none" w:sz="0" w:space="0" w:color="auto"/>
        <w:left w:val="none" w:sz="0" w:space="0" w:color="auto"/>
        <w:bottom w:val="none" w:sz="0" w:space="0" w:color="auto"/>
        <w:right w:val="none" w:sz="0" w:space="0" w:color="auto"/>
      </w:divBdr>
    </w:div>
    <w:div w:id="197455230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seekingalpha.com/symbol/AEO/dividends/dividend-growth"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ec.go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4176</Words>
  <Characters>23807</Characters>
  <Application>Microsoft Office Word</Application>
  <DocSecurity>0</DocSecurity>
  <Lines>198</Lines>
  <Paragraphs>55</Paragraphs>
  <ScaleCrop>false</ScaleCrop>
  <Company/>
  <LinksUpToDate>false</LinksUpToDate>
  <CharactersWithSpaces>27928</CharactersWithSpaces>
  <SharedDoc>false</SharedDoc>
  <HLinks>
    <vt:vector size="12" baseType="variant">
      <vt:variant>
        <vt:i4>4718608</vt:i4>
      </vt:variant>
      <vt:variant>
        <vt:i4>3</vt:i4>
      </vt:variant>
      <vt:variant>
        <vt:i4>0</vt:i4>
      </vt:variant>
      <vt:variant>
        <vt:i4>5</vt:i4>
      </vt:variant>
      <vt:variant>
        <vt:lpwstr>https://seekingalpha.com/symbol/AEO/dividends/dividend-growth</vt:lpwstr>
      </vt:variant>
      <vt:variant>
        <vt:lpwstr/>
      </vt:variant>
      <vt:variant>
        <vt:i4>1704001</vt:i4>
      </vt:variant>
      <vt:variant>
        <vt:i4>0</vt:i4>
      </vt:variant>
      <vt:variant>
        <vt:i4>0</vt:i4>
      </vt:variant>
      <vt:variant>
        <vt:i4>5</vt:i4>
      </vt:variant>
      <vt:variant>
        <vt:lpwstr>https://sec.gov/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Meredith Villaluz</cp:lastModifiedBy>
  <cp:revision>2</cp:revision>
  <dcterms:created xsi:type="dcterms:W3CDTF">2026-04-12T08:51:00Z</dcterms:created>
  <dcterms:modified xsi:type="dcterms:W3CDTF">2026-04-12T08:51:00Z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e090e48aaa9e36afa32289bef4e71cd78f64ca08bc2f188cd2ed7986987c4ffd</vt:lpwstr>
  </property>
</Properties>
</file>