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Data Descriptor Template</w:t>
      </w:r>
    </w:p>
    <w:p>
      <w:pPr>
        <w:pStyle w:val="Normal"/>
        <w:rPr/>
      </w:pPr>
      <w:r>
        <w:rPr/>
        <mc:AlternateContent>
          <mc:Choice Requires="wps">
            <w:drawing>
              <wp:anchor behindDoc="0" distT="0" distB="0" distL="114300" distR="114300" simplePos="0" locked="0" layoutInCell="1" allowOverlap="1" relativeHeight="2" wp14:anchorId="056E1103">
                <wp:simplePos x="0" y="0"/>
                <wp:positionH relativeFrom="column">
                  <wp:posOffset>0</wp:posOffset>
                </wp:positionH>
                <wp:positionV relativeFrom="paragraph">
                  <wp:posOffset>147320</wp:posOffset>
                </wp:positionV>
                <wp:extent cx="5302250" cy="1964690"/>
                <wp:effectExtent l="0" t="0" r="13970" b="19050"/>
                <wp:wrapSquare wrapText="bothSides"/>
                <wp:docPr id="1" name="Text Box 2"/>
                <a:graphic xmlns:a="http://schemas.openxmlformats.org/drawingml/2006/main">
                  <a:graphicData uri="http://schemas.microsoft.com/office/word/2010/wordprocessingShape">
                    <wps:wsp>
                      <wps:cNvSpPr/>
                      <wps:spPr>
                        <a:xfrm>
                          <a:off x="0" y="0"/>
                          <a:ext cx="5301720" cy="1964160"/>
                        </a:xfrm>
                        <a:prstGeom prst="rect">
                          <a:avLst/>
                        </a:prstGeom>
                        <a:solidFill>
                          <a:srgbClr val="ccffff"/>
                        </a:solidFill>
                        <a:ln w="9360">
                          <a:solidFill>
                            <a:srgbClr val="000000"/>
                          </a:solidFill>
                          <a:miter/>
                        </a:ln>
                      </wps:spPr>
                      <wps:style>
                        <a:lnRef idx="0"/>
                        <a:fillRef idx="0"/>
                        <a:effectRef idx="0"/>
                        <a:fontRef idx="minor"/>
                      </wps:style>
                      <wps:txbx>
                        <w:txbxContent>
                          <w:p>
                            <w:pPr>
                              <w:pStyle w:val="FrameContents"/>
                              <w:rPr>
                                <w:b/>
                                <w:b/>
                                <w:sz w:val="28"/>
                                <w:szCs w:val="28"/>
                              </w:rPr>
                            </w:pPr>
                            <w:r>
                              <w:rPr>
                                <w:b/>
                                <w:color w:val="000000"/>
                                <w:sz w:val="28"/>
                                <w:szCs w:val="28"/>
                              </w:rPr>
                              <w:t>Scope Guidelines</w:t>
                            </w:r>
                          </w:p>
                          <w:p>
                            <w:pPr>
                              <w:pStyle w:val="FrameContents"/>
                              <w:rPr>
                                <w:color w:val="000000"/>
                              </w:rPr>
                            </w:pPr>
                            <w:r>
                              <w:rPr>
                                <w:color w:val="000000"/>
                              </w:rPr>
                            </w:r>
                          </w:p>
                          <w:p>
                            <w:pPr>
                              <w:pStyle w:val="FrameContents"/>
                              <w:rPr>
                                <w:color w:val="000000"/>
                              </w:rPr>
                            </w:pPr>
                            <w:r>
                              <w:rPr>
                                <w:b/>
                                <w:color w:val="000000"/>
                                <w:sz w:val="20"/>
                                <w:szCs w:val="20"/>
                              </w:rPr>
                              <w:t>Data Descriptors</w:t>
                            </w:r>
                            <w:r>
                              <w:rPr>
                                <w:color w:val="000000"/>
                                <w:sz w:val="20"/>
                                <w:szCs w:val="20"/>
                              </w:rPr>
                              <w:t xml:space="preserve"> submitted to </w:t>
                            </w:r>
                            <w:r>
                              <w:rPr>
                                <w:i/>
                                <w:color w:val="000000"/>
                                <w:sz w:val="20"/>
                                <w:szCs w:val="20"/>
                              </w:rPr>
                              <w:t>Scientific Data</w:t>
                            </w:r>
                            <w:r>
                              <w:rPr>
                                <w:color w:val="000000"/>
                                <w:sz w:val="20"/>
                                <w:szCs w:val="20"/>
                              </w:rPr>
                              <w:t xml:space="preserve"> should provide detailed descriptions of valuable research datasets, including the methods used to collect the data and technical analyses supporting the quality of the measurements. Data Descriptors focus on helping others reuse data, rather than testing hypotheses, or presenting new interpretations, methods or in-depth analyses. Relevant datasets must be deposited in an appropriate public repository prior to Data Descriptor submission, and their completeness will be considered during editorial evaluation and peer review. The data must be made publicly available without restriction in the event that the Data Descriptor is accepted for publication (excepting reasonable controls related to human privacy issues or public safety). </w:t>
                            </w:r>
                          </w:p>
                        </w:txbxContent>
                      </wps:txbx>
                      <wps:bodyPr>
                        <a:spAutoFit/>
                      </wps:bodyPr>
                    </wps:wsp>
                  </a:graphicData>
                </a:graphic>
              </wp:anchor>
            </w:drawing>
          </mc:Choice>
          <mc:Fallback>
            <w:pict>
              <v:rect id="shape_0" ID="Text Box 2" fillcolor="#ccffff" stroked="t" style="position:absolute;margin-left:0pt;margin-top:11.6pt;width:417.4pt;height:154.6pt" wp14:anchorId="056E1103">
                <w10:wrap type="square"/>
                <v:fill o:detectmouseclick="t" type="solid" color2="#330000"/>
                <v:stroke color="black" weight="9360" joinstyle="miter" endcap="flat"/>
                <v:textbox>
                  <w:txbxContent>
                    <w:p>
                      <w:pPr>
                        <w:pStyle w:val="FrameContents"/>
                        <w:rPr>
                          <w:b/>
                          <w:b/>
                          <w:sz w:val="28"/>
                          <w:szCs w:val="28"/>
                        </w:rPr>
                      </w:pPr>
                      <w:r>
                        <w:rPr>
                          <w:b/>
                          <w:color w:val="000000"/>
                          <w:sz w:val="28"/>
                          <w:szCs w:val="28"/>
                        </w:rPr>
                        <w:t>Scope Guidelines</w:t>
                      </w:r>
                    </w:p>
                    <w:p>
                      <w:pPr>
                        <w:pStyle w:val="FrameContents"/>
                        <w:rPr>
                          <w:color w:val="000000"/>
                        </w:rPr>
                      </w:pPr>
                      <w:r>
                        <w:rPr>
                          <w:color w:val="000000"/>
                        </w:rPr>
                      </w:r>
                    </w:p>
                    <w:p>
                      <w:pPr>
                        <w:pStyle w:val="FrameContents"/>
                        <w:rPr>
                          <w:color w:val="000000"/>
                        </w:rPr>
                      </w:pPr>
                      <w:r>
                        <w:rPr>
                          <w:b/>
                          <w:color w:val="000000"/>
                          <w:sz w:val="20"/>
                          <w:szCs w:val="20"/>
                        </w:rPr>
                        <w:t>Data Descriptors</w:t>
                      </w:r>
                      <w:r>
                        <w:rPr>
                          <w:color w:val="000000"/>
                          <w:sz w:val="20"/>
                          <w:szCs w:val="20"/>
                        </w:rPr>
                        <w:t xml:space="preserve"> submitted to </w:t>
                      </w:r>
                      <w:r>
                        <w:rPr>
                          <w:i/>
                          <w:color w:val="000000"/>
                          <w:sz w:val="20"/>
                          <w:szCs w:val="20"/>
                        </w:rPr>
                        <w:t>Scientific Data</w:t>
                      </w:r>
                      <w:r>
                        <w:rPr>
                          <w:color w:val="000000"/>
                          <w:sz w:val="20"/>
                          <w:szCs w:val="20"/>
                        </w:rPr>
                        <w:t xml:space="preserve"> should provide detailed descriptions of valuable research datasets, including the methods used to collect the data and technical analyses supporting the quality of the measurements. Data Descriptors focus on helping others reuse data, rather than testing hypotheses, or presenting new interpretations, methods or in-depth analyses. Relevant datasets must be deposited in an appropriate public repository prior to Data Descriptor submission, and their completeness will be considered during editorial evaluation and peer review. The data must be made publicly available without restriction in the event that the Data Descriptor is accepted for publication (excepting reasonable controls related to human privacy issues or public safety). </w:t>
                      </w:r>
                    </w:p>
                  </w:txbxContent>
                </v:textbox>
              </v:rect>
            </w:pict>
          </mc:Fallback>
        </mc:AlternateContent>
      </w:r>
    </w:p>
    <w:p>
      <w:pPr>
        <w:pStyle w:val="Heading3"/>
        <w:spacing w:before="0" w:after="0"/>
        <w:rPr/>
      </w:pPr>
      <w:r>
        <w:rPr/>
        <w:t xml:space="preserve">Comprehensive dataset of shotgun metagenomes from oxygen </w:t>
      </w:r>
      <w:commentRangeStart w:id="0"/>
      <w:r>
        <w:rPr/>
        <w:t xml:space="preserve">stratified boreal and subarctic </w:t>
      </w:r>
      <w:r>
        <w:rPr/>
      </w:r>
      <w:commentRangeEnd w:id="0"/>
      <w:r>
        <w:commentReference w:id="0"/>
      </w:r>
      <w:r>
        <w:rPr/>
        <w:t>lakes and ponds</w:t>
      </w:r>
    </w:p>
    <w:p>
      <w:pPr>
        <w:pStyle w:val="Normal"/>
        <w:rPr>
          <w:i/>
          <w:i/>
        </w:rPr>
      </w:pPr>
      <w:r>
        <w:rPr>
          <w:i/>
        </w:rPr>
        <w:t xml:space="preserve">110 characters maximum, including spaces </w:t>
      </w:r>
    </w:p>
    <w:p>
      <w:pPr>
        <w:pStyle w:val="Normal"/>
        <w:rPr/>
      </w:pPr>
      <w:r>
        <w:rPr/>
      </w:r>
    </w:p>
    <w:p>
      <w:pPr>
        <w:pStyle w:val="Heading3"/>
        <w:spacing w:before="0" w:after="0"/>
        <w:rPr/>
      </w:pPr>
      <w:r>
        <w:rPr/>
        <w:t>Authors</w:t>
      </w:r>
    </w:p>
    <w:p>
      <w:pPr>
        <w:pStyle w:val="Normal"/>
        <w:rPr/>
      </w:pPr>
      <w:commentRangeStart w:id="1"/>
      <w:r>
        <w:rPr/>
        <w:t xml:space="preserve">Moritz </w:t>
      </w:r>
      <w:r>
        <w:rPr/>
      </w:r>
      <w:commentRangeEnd w:id="1"/>
      <w:r>
        <w:commentReference w:id="1"/>
      </w:r>
      <w:r>
        <w:rPr/>
        <w:t>Buck</w:t>
      </w:r>
      <w:r>
        <w:rPr>
          <w:vertAlign w:val="superscript"/>
        </w:rPr>
        <w:t>1</w:t>
      </w:r>
      <w:r>
        <w:rPr/>
        <w:t xml:space="preserve">, Sarahi L. Garcia, Stefan Bertilsson, Leyden Fernandez Vidal, Gaëtan Martin, Jakob </w:t>
      </w:r>
      <w:r>
        <w:rPr>
          <w:sz w:val="22"/>
          <w:szCs w:val="22"/>
        </w:rPr>
        <w:t>Zopfi</w:t>
      </w:r>
      <w:r>
        <w:rPr/>
        <w:t>, Antti Rissanen, Gustavo A. Martinez Rodriguez, Jatta Saarenheimo, Vicente Sedano, Sari Peura</w:t>
      </w:r>
      <w:r>
        <w:rPr>
          <w:vertAlign w:val="superscript"/>
        </w:rPr>
        <w:t>2</w:t>
      </w:r>
    </w:p>
    <w:p>
      <w:pPr>
        <w:pStyle w:val="Normal"/>
        <w:rPr/>
      </w:pPr>
      <w:r>
        <w:rPr/>
      </w:r>
    </w:p>
    <w:p>
      <w:pPr>
        <w:pStyle w:val="Normal"/>
        <w:rPr>
          <w:b/>
          <w:b/>
        </w:rPr>
      </w:pPr>
      <w:r>
        <w:rPr>
          <w:b/>
        </w:rPr>
        <w:t>Affiliations</w:t>
      </w:r>
    </w:p>
    <w:p>
      <w:pPr>
        <w:pStyle w:val="Normal"/>
        <w:rPr/>
      </w:pPr>
      <w:r>
        <w:rPr/>
        <w:t>1. institution</w:t>
      </w:r>
    </w:p>
    <w:p>
      <w:pPr>
        <w:pStyle w:val="Normal"/>
        <w:rPr/>
      </w:pPr>
      <w:r>
        <w:rPr/>
        <w:t>2. institution</w:t>
      </w:r>
    </w:p>
    <w:p>
      <w:pPr>
        <w:pStyle w:val="Normal"/>
        <w:rPr/>
      </w:pPr>
      <w:r>
        <w:rPr/>
        <w:t>corresponding authors: Sari Peura (</w:t>
      </w:r>
      <w:hyperlink r:id="rId2">
        <w:r>
          <w:rPr>
            <w:rStyle w:val="InternetLink"/>
          </w:rPr>
          <w:t>sari.peura@slu.se)</w:t>
        </w:r>
      </w:hyperlink>
      <w:r>
        <w:rPr/>
        <w:t xml:space="preserve">, Moritz Buck (moritz.buck@slu.se) </w:t>
      </w:r>
    </w:p>
    <w:p>
      <w:pPr>
        <w:pStyle w:val="Normal"/>
        <w:rPr/>
      </w:pPr>
      <w:r>
        <w:rPr/>
      </w:r>
    </w:p>
    <w:p>
      <w:pPr>
        <w:pStyle w:val="Heading3"/>
        <w:spacing w:before="0" w:after="0"/>
        <w:rPr/>
      </w:pPr>
      <w:commentRangeStart w:id="2"/>
      <w:r>
        <w:rPr/>
        <w:t>Abstract</w:t>
      </w:r>
      <w:commentRangeEnd w:id="2"/>
      <w:r>
        <w:commentReference w:id="2"/>
      </w:r>
      <w:r>
        <w:rPr/>
      </w:r>
    </w:p>
    <w:p>
      <w:pPr>
        <w:pStyle w:val="Normal"/>
        <w:rPr>
          <w:i/>
          <w:i/>
        </w:rPr>
      </w:pPr>
      <w:r>
        <w:rPr>
          <w:i/>
        </w:rPr>
        <w:t>170 words maximum</w:t>
      </w:r>
    </w:p>
    <w:p>
      <w:pPr>
        <w:pStyle w:val="Normal"/>
        <w:rPr/>
      </w:pPr>
      <w:commentRangeStart w:id="3"/>
      <w:r>
        <w:rPr/>
        <w:t xml:space="preserve">Oxygen </w:t>
      </w:r>
      <w:r>
        <w:rPr/>
      </w:r>
      <w:commentRangeEnd w:id="3"/>
      <w:r>
        <w:commentReference w:id="3"/>
      </w:r>
      <w:r>
        <w:rPr/>
        <w:t>stratified lakes and ponds are significant sources of greenhouse gases and hotspots in the carbon cycle in the northern regions from boreal to arctic zone, but the microbial communities especially in their oxygen depleted bottom compartments are poorly characterized. In this paper, we are describing a comprehensive metagenome dataset including shotgun metagenomes from XX oxygen stratified lakes mainly residing in the boreal and subarctic regions, but also one reservoir from the tropical Puerto Rico and one lake from the temperate zone (Austria) are included. For most lakes and ponds the data includes a vertical sample series from the oxic surface to anoxic bottom layer. Further, the dataset includes environmental variables for the samples, such as oxygen, nutrient and carbon concentrations. The dataset is ideal for exploring the microbial taxonomic and functional diversity in key aquatic environments, critically impacted by the climate change.</w:t>
      </w:r>
    </w:p>
    <w:p>
      <w:pPr>
        <w:pStyle w:val="Normal"/>
        <w:rPr/>
      </w:pPr>
      <w:r>
        <w:rPr/>
      </w:r>
    </w:p>
    <w:p>
      <w:pPr>
        <w:pStyle w:val="Normal"/>
        <w:rPr/>
      </w:pPr>
      <w:r>
        <w:rPr/>
      </w:r>
    </w:p>
    <w:p>
      <w:pPr>
        <w:pStyle w:val="Heading3"/>
        <w:spacing w:before="0" w:after="0"/>
        <w:rPr/>
      </w:pPr>
      <w:commentRangeStart w:id="4"/>
      <w:r>
        <w:rPr/>
        <w:t xml:space="preserve">Background </w:t>
      </w:r>
      <w:r>
        <w:rPr/>
      </w:r>
      <w:commentRangeEnd w:id="4"/>
      <w:r>
        <w:commentReference w:id="4"/>
      </w:r>
      <w:r>
        <w:rPr/>
        <w:t>&amp; Summary</w:t>
      </w:r>
    </w:p>
    <w:p>
      <w:pPr>
        <w:pStyle w:val="Normal"/>
        <w:rPr>
          <w:i/>
          <w:i/>
        </w:rPr>
      </w:pPr>
      <w:r>
        <w:rPr>
          <w:i/>
        </w:rPr>
        <w:t>700 words maximum</w:t>
      </w:r>
    </w:p>
    <w:p>
      <w:pPr>
        <w:pStyle w:val="Normal"/>
        <w:rPr/>
      </w:pPr>
      <w:r>
        <w:rPr/>
        <w:t>Oxygen stratified lakes are a typical feature of the northern regions and significant sources of greenhouse gas (GHG) emissions (REF). These lakes reside in the region critically impacted by the climate change (REF) and the contribution of these lakes to further enhancing the climate change via GHG emissions is dependent on the microbes inhabiting these waterbodies (REF). Especially important are the organisms in their anoxic compartment, as many of the prominent GHG are produced in this compartment (REFs). However, our knowledge regarding these microbial communities is still sparse, and only a few studies exist addressing the functional features of the microbial communities in the anoxic lake compartments (REFs). To address this gap in our knowledge, we have collected a comprehensive set of samples from XX lakes and ponds from oxygen stratified waterbodies from boreal and subarctic regions, and additionally a vertical sample series also from one tropical reservoir from Puerto Rico and a time series of vertical sample series from a temperate lake in Austria (</w:t>
      </w:r>
      <w:commentRangeStart w:id="5"/>
      <w:r>
        <w:rPr/>
        <w:t>Fig</w:t>
      </w:r>
      <w:r>
        <w:rPr/>
      </w:r>
      <w:commentRangeEnd w:id="5"/>
      <w:r>
        <w:commentReference w:id="5"/>
      </w:r>
      <w:r>
        <w:rPr/>
        <w:t xml:space="preserve">. 1, </w:t>
      </w:r>
      <w:commentRangeStart w:id="6"/>
      <w:r>
        <w:rPr/>
        <w:t>Table 1</w:t>
      </w:r>
      <w:r>
        <w:rPr/>
      </w:r>
      <w:commentRangeEnd w:id="6"/>
      <w:r>
        <w:commentReference w:id="6"/>
      </w:r>
      <w:r>
        <w:rPr/>
        <w:t>). For the majority of the lakes samples exist from throughout the water column, from oxic epilimnion, the oxygen transition zone (metalimnion) and from anoxic hypolimnion (</w:t>
      </w:r>
      <w:commentRangeStart w:id="7"/>
      <w:r>
        <w:rPr/>
        <w:t xml:space="preserve">Supplementary </w:t>
      </w:r>
      <w:r>
        <w:rPr/>
      </w:r>
      <w:commentRangeEnd w:id="7"/>
      <w:r>
        <w:commentReference w:id="7"/>
      </w:r>
      <w:r>
        <w:rPr/>
        <w:t xml:space="preserve">Table S1). For 12 of the boreal lakes only surface samples were collected. Additionally, for all samples also environmental conditions were analysed, including, but not limited to, oxygen, nutrient and carbon concentrations (Supplementary Table S1). For all samples metagenomes were sequenced using shotgun sequencing on Illumina NovaSeq platform at Science for Life Laboratory (Uppsala University, Uppsala, </w:t>
      </w:r>
      <w:commentRangeStart w:id="8"/>
      <w:r>
        <w:rPr/>
        <w:t>Sweden</w:t>
      </w:r>
      <w:r>
        <w:rPr/>
      </w:r>
      <w:commentRangeEnd w:id="8"/>
      <w:r>
        <w:commentReference w:id="8"/>
      </w:r>
      <w:r>
        <w:rPr/>
        <w:t xml:space="preserve">). </w:t>
      </w:r>
    </w:p>
    <w:p>
      <w:pPr>
        <w:pStyle w:val="Normal"/>
        <w:rPr/>
      </w:pPr>
      <w:r>
        <w:rPr/>
        <w:t>Our goal was to collect a comprehensive dataset that would allow broad analyses of the functioning of the microbial communities in oxygen stratified lakes representing high carbon concentration, and variable environmental conditions in regards of, for example, nutrient concentrations. With this data, we aimed at characterizing the taxonomic and functional identities of the microbes across boreal and subarctic lakes and ponds. This improves significantly our understanding of the functioning of these key environments in the elemental cycles in the northern landscapes. The data set can be used for assessing both general metabolic potential of the total lake communities, but also, via assembly and binning of metagenome assembled genomes (MAGs), the exploration of population genomes of individual community members for deeper understanding of the poorly known members of the communities.</w:t>
      </w:r>
    </w:p>
    <w:p>
      <w:pPr>
        <w:pStyle w:val="Normal"/>
        <w:rPr/>
      </w:pPr>
      <w:r>
        <w:rPr/>
      </w:r>
    </w:p>
    <w:p>
      <w:pPr>
        <w:pStyle w:val="Heading3"/>
        <w:spacing w:before="0" w:after="0"/>
        <w:rPr/>
      </w:pPr>
      <w:commentRangeStart w:id="9"/>
      <w:r>
        <w:rPr/>
        <w:t>Methods</w:t>
      </w:r>
      <w:commentRangeEnd w:id="9"/>
      <w:r>
        <w:commentReference w:id="9"/>
      </w:r>
      <w:r>
        <w:rPr/>
      </w:r>
    </w:p>
    <w:p>
      <w:pPr>
        <w:pStyle w:val="Normal"/>
        <w:rPr>
          <w:i/>
          <w:i/>
        </w:rPr>
      </w:pPr>
      <w:r>
        <w:rPr>
          <w:i/>
        </w:rPr>
        <w:t>Sample collection</w:t>
      </w:r>
    </w:p>
    <w:p>
      <w:pPr>
        <w:pStyle w:val="Normal"/>
        <w:rPr/>
      </w:pPr>
      <w:commentRangeStart w:id="10"/>
      <w:r>
        <w:rPr/>
        <w:t xml:space="preserve">The </w:t>
      </w:r>
      <w:r>
        <w:rPr/>
      </w:r>
      <w:commentRangeEnd w:id="10"/>
      <w:r>
        <w:commentReference w:id="10"/>
      </w:r>
      <w:r>
        <w:rPr/>
        <w:t xml:space="preserve">samples were collected between 2009 and 2018 from XX locations expanding from the subarctic region to the tropics (Fig. 1, Supplementary Table S1). Majority of the samples were collected using Limnos sampler (Limnos pl., Poland), with the exception of the samples from La Plata (Puerto Rico), which were collected using </w:t>
      </w:r>
      <w:commentRangeStart w:id="11"/>
      <w:r>
        <w:rPr/>
        <w:t xml:space="preserve">XX </w:t>
      </w:r>
      <w:r>
        <w:rPr/>
      </w:r>
      <w:commentRangeEnd w:id="11"/>
      <w:r>
        <w:commentReference w:id="11"/>
      </w:r>
      <w:r>
        <w:rPr/>
        <w:t xml:space="preserve">and samples from Loclat, which were collected using </w:t>
      </w:r>
      <w:commentRangeStart w:id="12"/>
      <w:r>
        <w:rPr/>
        <w:t xml:space="preserve">XX </w:t>
      </w:r>
      <w:r>
        <w:rPr/>
      </w:r>
      <w:commentRangeEnd w:id="12"/>
      <w:r>
        <w:commentReference w:id="12"/>
      </w:r>
      <w:r>
        <w:rPr/>
        <w:t xml:space="preserve">sampler. For most lakes and ponds, multiple samples were collected, including samples from the oxic surface layer (epilimnion), the layer with steepest change in oxygen concentration and temperature (metalimnion) and from the layer where oxygen was below detection limit (hypolimnion). The exception to this were 12 lakes in Sweden, and five shallow ponds in Canada, for which only one sample from the oxic surface layer was taken (see Supplementary Table S1). Most of the lakes were sampled during the open water season, with the exception of 12 lakes with only surface samples, which were sampled during the ice cover period, as well as one Swedish lake (lake Lomtjärn), which was sampled twice during the ice cover period, and </w:t>
      </w:r>
      <w:commentRangeStart w:id="13"/>
      <w:r>
        <w:rPr/>
        <w:t xml:space="preserve">X </w:t>
      </w:r>
      <w:r>
        <w:rPr/>
      </w:r>
      <w:commentRangeEnd w:id="13"/>
      <w:r>
        <w:commentReference w:id="13"/>
      </w:r>
      <w:r>
        <w:rPr/>
        <w:t>samples in the time series of the Austrian lake (Loclat), which were taken from under the ice.</w:t>
      </w:r>
    </w:p>
    <w:p>
      <w:pPr>
        <w:pStyle w:val="Normal"/>
        <w:rPr/>
      </w:pPr>
      <w:r>
        <w:rPr/>
        <w:t>Simultaneous to collection of the DNA samples, also samples for environmental conditions were taken. These included temperature, pH, oxygen, total and dissolved nutrients (</w:t>
      </w:r>
      <w:commentRangeStart w:id="14"/>
      <w:r>
        <w:rPr/>
        <w:t xml:space="preserve">P </w:t>
      </w:r>
      <w:r>
        <w:rPr/>
      </w:r>
      <w:commentRangeEnd w:id="14"/>
      <w:r>
        <w:commentReference w:id="14"/>
      </w:r>
      <w:r>
        <w:rPr/>
        <w:t>and N species), CO</w:t>
      </w:r>
      <w:r>
        <w:rPr>
          <w:vertAlign w:val="subscript"/>
        </w:rPr>
        <w:t>2</w:t>
      </w:r>
      <w:r>
        <w:rPr/>
        <w:t xml:space="preserve"> and methane, total or dissolved organic carbon, iron, sulfate and chlorophyll a.  As the samples were collected during multiple years and by different research groups, there was some variation for the procedures between the different sampling occasions, leading to variation in the final set of environmental data across the samples (Supplementary Table S1). </w:t>
      </w:r>
    </w:p>
    <w:p>
      <w:pPr>
        <w:pStyle w:val="Normal"/>
        <w:rPr/>
      </w:pPr>
      <w:r>
        <w:rPr/>
      </w:r>
    </w:p>
    <w:p>
      <w:pPr>
        <w:pStyle w:val="Normal"/>
        <w:rPr>
          <w:i/>
          <w:i/>
        </w:rPr>
      </w:pPr>
      <w:r>
        <w:rPr>
          <w:i/>
        </w:rPr>
        <w:t>Collection, extraction and sequencing of DNA</w:t>
      </w:r>
    </w:p>
    <w:p>
      <w:pPr>
        <w:pStyle w:val="Normal"/>
        <w:rPr/>
      </w:pPr>
      <w:r>
        <w:rPr/>
        <w:t xml:space="preserve">Most of the DNA samples were collected on Sterivex filters (Millipore), except for the timeseries samples collected from Loclat, which were collected on </w:t>
      </w:r>
      <w:commentRangeStart w:id="15"/>
      <w:r>
        <w:rPr/>
        <w:t xml:space="preserve">XX </w:t>
      </w:r>
      <w:r>
        <w:rPr/>
      </w:r>
      <w:commentRangeEnd w:id="15"/>
      <w:r>
        <w:commentReference w:id="15"/>
      </w:r>
      <w:r>
        <w:rPr/>
        <w:t xml:space="preserve">filters, and time series samples from Finnish lake Mekkojärvi, which were collected on </w:t>
      </w:r>
      <w:commentRangeStart w:id="16"/>
      <w:r>
        <w:rPr/>
        <w:t xml:space="preserve">XX </w:t>
      </w:r>
      <w:r>
        <w:rPr/>
      </w:r>
      <w:commentRangeEnd w:id="16"/>
      <w:r>
        <w:commentReference w:id="16"/>
      </w:r>
      <w:r>
        <w:rPr/>
        <w:t xml:space="preserve">filters. In all cases, water was filtered through the filter until clogging. All filters were stored frozen (-20 to -80 ˚C) until the extraction of the DNA. For the majority of the samples, DNA was extracted using PowerSoil DNA extraction kit (XX) following the manufacturer´s instructions. Exception to this were samples included to </w:t>
      </w:r>
      <w:commentRangeStart w:id="17"/>
      <w:r>
        <w:rPr/>
        <w:t xml:space="preserve">Mekkojärvi </w:t>
      </w:r>
      <w:r>
        <w:rPr/>
      </w:r>
      <w:commentRangeEnd w:id="17"/>
      <w:r>
        <w:commentReference w:id="17"/>
      </w:r>
      <w:r>
        <w:rPr/>
        <w:t>time series, which were extracted using XX.</w:t>
      </w:r>
    </w:p>
    <w:p>
      <w:pPr>
        <w:pStyle w:val="Normal"/>
        <w:rPr/>
      </w:pPr>
      <w:commentRangeStart w:id="18"/>
      <w:r>
        <w:rPr/>
        <w:t xml:space="preserve">The </w:t>
      </w:r>
      <w:r>
        <w:rPr/>
      </w:r>
      <w:commentRangeEnd w:id="18"/>
      <w:r>
        <w:commentReference w:id="18"/>
      </w:r>
      <w:r>
        <w:rPr/>
        <w:t>quality check of the DNA prior to sequencing was done…</w:t>
      </w:r>
    </w:p>
    <w:p>
      <w:pPr>
        <w:pStyle w:val="Normal"/>
        <w:rPr/>
      </w:pPr>
      <w:r>
        <w:rPr/>
      </w:r>
    </w:p>
    <w:p>
      <w:pPr>
        <w:pStyle w:val="Heading3"/>
        <w:spacing w:before="0" w:after="0"/>
        <w:rPr/>
      </w:pPr>
      <w:r>
        <w:rPr/>
      </w:r>
    </w:p>
    <w:p>
      <w:pPr>
        <w:pStyle w:val="Heading3"/>
        <w:spacing w:before="0" w:after="0"/>
        <w:rPr/>
      </w:pPr>
      <w:commentRangeStart w:id="19"/>
      <w:r>
        <w:rPr/>
        <w:t xml:space="preserve">Data </w:t>
      </w:r>
      <w:r>
        <w:rPr/>
      </w:r>
      <w:commentRangeEnd w:id="19"/>
      <w:r>
        <w:commentReference w:id="19"/>
      </w:r>
      <w:r>
        <w:rPr/>
        <w:t>Records</w:t>
      </w:r>
    </w:p>
    <w:p>
      <w:pPr>
        <w:pStyle w:val="Normal"/>
        <w:rPr/>
      </w:pPr>
      <w:r>
        <w:rPr/>
        <w:t xml:space="preserve">All sequences are deposited to XXX under accession number </w:t>
      </w:r>
      <w:bookmarkStart w:id="0" w:name="_GoBack"/>
      <w:bookmarkEnd w:id="0"/>
      <w:r>
        <w:rPr/>
        <w:t>XXX. Etc….</w:t>
      </w:r>
    </w:p>
    <w:p>
      <w:pPr>
        <w:pStyle w:val="Normal"/>
        <w:rPr/>
      </w:pPr>
      <w:r>
        <w:rPr/>
      </w:r>
    </w:p>
    <w:p>
      <w:pPr>
        <w:pStyle w:val="Heading3"/>
        <w:spacing w:before="0" w:after="0"/>
        <w:rPr/>
      </w:pPr>
      <w:commentRangeStart w:id="20"/>
      <w:r>
        <w:rPr/>
        <w:t xml:space="preserve">Technical </w:t>
      </w:r>
      <w:r>
        <w:rPr/>
      </w:r>
      <w:commentRangeEnd w:id="20"/>
      <w:r>
        <w:commentReference w:id="20"/>
      </w:r>
      <w:r>
        <w:rPr/>
        <w:t>Validation</w:t>
      </w:r>
    </w:p>
    <w:p>
      <w:pPr>
        <w:pStyle w:val="Normal"/>
        <w:rPr>
          <w:b/>
          <w:b/>
        </w:rPr>
      </w:pPr>
      <w:r>
        <w:rPr/>
        <w:t xml:space="preserve"> </w:t>
      </w:r>
    </w:p>
    <w:p>
      <w:pPr>
        <w:pStyle w:val="Normal"/>
        <w:rPr>
          <w:b/>
          <w:b/>
        </w:rPr>
      </w:pPr>
      <w:r>
        <w:rPr>
          <w:b/>
        </w:rPr>
      </w:r>
    </w:p>
    <w:p>
      <w:pPr>
        <w:pStyle w:val="Heading3"/>
        <w:spacing w:before="0" w:after="0"/>
        <w:rPr/>
      </w:pPr>
      <w:commentRangeStart w:id="21"/>
      <w:r>
        <w:rPr/>
        <w:t xml:space="preserve">Usage </w:t>
      </w:r>
      <w:r>
        <w:rPr/>
      </w:r>
      <w:commentRangeEnd w:id="21"/>
      <w:r>
        <w:commentReference w:id="21"/>
      </w:r>
      <w:r>
        <w:rPr/>
        <w:t>Notes</w:t>
      </w:r>
    </w:p>
    <w:p>
      <w:pPr>
        <w:pStyle w:val="Normal"/>
        <w:rPr/>
      </w:pPr>
      <w:r>
        <w:rPr>
          <w:i/>
        </w:rPr>
        <w:t>This section is optional</w:t>
      </w:r>
    </w:p>
    <w:p>
      <w:pPr>
        <w:pStyle w:val="Heading3"/>
        <w:rPr/>
      </w:pPr>
      <w:commentRangeStart w:id="22"/>
      <w:r>
        <w:rPr/>
        <w:t xml:space="preserve">Code </w:t>
      </w:r>
      <w:r>
        <w:rPr/>
      </w:r>
      <w:commentRangeEnd w:id="22"/>
      <w:r>
        <w:commentReference w:id="22"/>
      </w:r>
      <w:r>
        <w:rPr/>
        <w:t>Availability</w:t>
      </w:r>
    </w:p>
    <w:p>
      <w:pPr>
        <w:pStyle w:val="Normal"/>
        <w:rPr/>
      </w:pPr>
      <w:r>
        <w:rPr/>
      </w:r>
    </w:p>
    <w:p>
      <w:pPr>
        <w:pStyle w:val="Heading3"/>
        <w:spacing w:before="0" w:after="0"/>
        <w:rPr/>
      </w:pPr>
      <w:commentRangeStart w:id="23"/>
      <w:r>
        <w:rPr/>
        <w:t>Acknowledgements</w:t>
      </w:r>
      <w:commentRangeEnd w:id="23"/>
      <w:r>
        <w:commentReference w:id="23"/>
      </w:r>
      <w:r>
        <w:rPr/>
      </w:r>
    </w:p>
    <w:p>
      <w:pPr>
        <w:pStyle w:val="Normal"/>
        <w:rPr/>
      </w:pPr>
      <w:r>
        <w:rPr/>
        <w:t xml:space="preserve">Milla Rautio is acknowledge for her help to access the CEN research station in Whapmagoostui-Kuujjuarapik (Quebec, Canada) and Sergio Morales for his help obtaining the samples from Puerto Rico. We are </w:t>
      </w:r>
      <w:commentRangeStart w:id="24"/>
      <w:r>
        <w:rPr/>
        <w:t xml:space="preserve">grateful </w:t>
      </w:r>
      <w:r>
        <w:rPr/>
      </w:r>
      <w:commentRangeEnd w:id="24"/>
      <w:r>
        <w:commentReference w:id="24"/>
      </w:r>
      <w:r>
        <w:rPr/>
        <w:t xml:space="preserve">to Carla XX, </w:t>
      </w:r>
      <w:commentRangeStart w:id="25"/>
      <w:r>
        <w:rPr/>
        <w:t>Guys helping at KW</w:t>
      </w:r>
      <w:r>
        <w:rPr/>
      </w:r>
      <w:commentRangeEnd w:id="25"/>
      <w:r>
        <w:commentReference w:id="25"/>
      </w:r>
      <w:r>
        <w:rPr/>
        <w:t xml:space="preserve">, etc for their help with the sampling. The sequencing was funded by grant from Science for Life Laboratory biodiversity program. UPPMAX, grants, </w:t>
      </w:r>
      <w:r>
        <w:rPr/>
        <w:t>Lammi Research station</w:t>
      </w:r>
    </w:p>
    <w:p>
      <w:pPr>
        <w:pStyle w:val="Normal"/>
        <w:rPr/>
      </w:pPr>
      <w:r>
        <w:rPr/>
      </w:r>
    </w:p>
    <w:p>
      <w:pPr>
        <w:pStyle w:val="Heading3"/>
        <w:spacing w:before="0" w:after="0"/>
        <w:rPr/>
      </w:pPr>
      <w:commentRangeStart w:id="26"/>
      <w:r>
        <w:rPr/>
        <w:t xml:space="preserve">Author </w:t>
      </w:r>
      <w:r>
        <w:rPr/>
      </w:r>
      <w:commentRangeEnd w:id="26"/>
      <w:r>
        <w:commentReference w:id="26"/>
      </w:r>
      <w:r>
        <w:rPr/>
        <w:t>contributions</w:t>
      </w:r>
    </w:p>
    <w:p>
      <w:pPr>
        <w:pStyle w:val="Heading3"/>
        <w:spacing w:before="0" w:after="0"/>
        <w:rPr/>
      </w:pPr>
      <w:r>
        <w:rPr/>
      </w:r>
    </w:p>
    <w:p>
      <w:pPr>
        <w:pStyle w:val="Heading3"/>
        <w:spacing w:before="0" w:after="0"/>
        <w:rPr/>
      </w:pPr>
      <w:r>
        <w:rPr/>
        <w:t>Competing interests</w:t>
      </w:r>
    </w:p>
    <w:p>
      <w:pPr>
        <w:pStyle w:val="NormalWeb"/>
        <w:spacing w:beforeAutospacing="0" w:before="0" w:afterAutospacing="0" w:after="0"/>
        <w:rPr/>
      </w:pPr>
      <w:r>
        <w:rPr/>
        <w:t>The authors declare no conflict of interest.</w:t>
      </w:r>
    </w:p>
    <w:p>
      <w:pPr>
        <w:pStyle w:val="NormalWeb"/>
        <w:spacing w:beforeAutospacing="0" w:before="0" w:afterAutospacing="0" w:after="0"/>
        <w:rPr/>
      </w:pPr>
      <w:r>
        <w:rPr/>
      </w:r>
    </w:p>
    <w:p>
      <w:pPr>
        <w:pStyle w:val="Heading3"/>
        <w:spacing w:before="0" w:after="0"/>
        <w:rPr/>
      </w:pPr>
      <w:r>
        <w:rPr/>
        <w:t>Figures</w:t>
      </w:r>
    </w:p>
    <w:p>
      <w:pPr>
        <w:pStyle w:val="Normal"/>
        <w:rPr/>
      </w:pPr>
      <w:r>
        <w:rP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pPr>
        <w:pStyle w:val="Normal"/>
        <w:rPr/>
      </w:pPr>
      <w:r>
        <w:rPr/>
      </w:r>
    </w:p>
    <w:p>
      <w:pPr>
        <w:pStyle w:val="Normal"/>
        <w:rPr/>
      </w:pPr>
      <w:r>
        <w:rPr/>
        <w:t>For initial submissions, authors may choose to supply a single PDF with embedded figures.</w:t>
      </w:r>
    </w:p>
    <w:p>
      <w:pPr>
        <w:pStyle w:val="Normal"/>
        <w:rPr/>
      </w:pPr>
      <w:r>
        <w:rPr/>
      </w:r>
    </w:p>
    <w:p>
      <w:pPr>
        <w:pStyle w:val="Normal"/>
        <w:rPr/>
      </w:pPr>
      <w:r>
        <w:rPr/>
        <w:t>Authors are encouraged to consider creating a figure that outlines the experimental workflow(s) used to generate and analyse the data output(s).</w:t>
      </w:r>
    </w:p>
    <w:p>
      <w:pPr>
        <w:pStyle w:val="Normal"/>
        <w:rPr/>
      </w:pPr>
      <w:r>
        <w:rPr/>
      </w:r>
    </w:p>
    <w:p>
      <w:pPr>
        <w:pStyle w:val="Heading3"/>
        <w:spacing w:before="0" w:after="0"/>
        <w:rPr/>
      </w:pPr>
      <w:r>
        <w:rPr/>
        <w:t>Figure Legends</w:t>
      </w:r>
    </w:p>
    <w:p>
      <w:pPr>
        <w:pStyle w:val="Heading3"/>
        <w:spacing w:before="0" w:after="0"/>
        <w:rPr>
          <w:rFonts w:ascii="Calibri" w:hAnsi="Calibri" w:cs="Times New Roman"/>
          <w:b w:val="false"/>
          <w:b w:val="false"/>
          <w:bCs w:val="false"/>
          <w:sz w:val="22"/>
          <w:szCs w:val="22"/>
        </w:rPr>
      </w:pPr>
      <w:r>
        <w:rPr>
          <w:rFonts w:cs="Times New Roman" w:ascii="Calibri" w:hAnsi="Calibri"/>
          <w:b w:val="false"/>
          <w:bCs w:val="false"/>
          <w:sz w:val="22"/>
          <w:szCs w:val="22"/>
        </w:rPr>
        <w:t>Figure legends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p>
      <w:pPr>
        <w:pStyle w:val="Normal"/>
        <w:rPr/>
      </w:pPr>
      <w:r>
        <w:rPr/>
      </w:r>
    </w:p>
    <w:p>
      <w:pPr>
        <w:pStyle w:val="Heading3"/>
        <w:spacing w:before="0" w:after="0"/>
        <w:rPr/>
      </w:pPr>
      <w:r>
        <w:rPr/>
        <w:t>Tables</w:t>
      </w:r>
    </w:p>
    <w:p>
      <w:pPr>
        <w:pStyle w:val="Normal"/>
        <w:rPr/>
      </w:pPr>
      <w:r>
        <w:rPr/>
        <w:t>Authors are encouraged to provide one or more tables that provide basic information on the main ‘inputs’ 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Normal"/>
        <w:rPr/>
      </w:pPr>
      <w:r>
        <w:rPr/>
      </w:r>
    </w:p>
    <w:p>
      <w:pPr>
        <w:pStyle w:val="Normal"/>
        <w:rPr/>
      </w:pPr>
      <w:r>
        <w:rP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pPr>
        <w:pStyle w:val="Normal"/>
        <w:rPr/>
      </w:pPr>
      <w:r>
        <w:rPr/>
      </w:r>
    </w:p>
    <w:p>
      <w:pPr>
        <w:pStyle w:val="Normal"/>
        <w:rPr/>
      </w:pPr>
      <w:r>
        <w:rPr/>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pPr>
        <w:pStyle w:val="Normal"/>
        <w:rPr/>
      </w:pPr>
      <w:r>
        <w:rPr/>
      </w:r>
    </w:p>
    <w:p>
      <w:pPr>
        <w:pStyle w:val="Heading3"/>
        <w:spacing w:before="0" w:after="0"/>
        <w:rPr/>
      </w:pPr>
      <w:r>
        <w:rPr/>
        <w:t>References</w:t>
      </w:r>
    </w:p>
    <w:p>
      <w:pPr>
        <w:pStyle w:val="Normal"/>
        <w:rPr/>
      </w:pPr>
      <w:r>
        <w:rPr/>
        <w:t xml:space="preserve">Bibliographic information for any works cited in the above sections, using the standard </w:t>
      </w:r>
      <w:r>
        <w:rPr>
          <w:rStyle w:val="Emphasis"/>
        </w:rPr>
        <w:t>Nature</w:t>
      </w:r>
      <w:r>
        <w:rPr/>
        <w:t xml:space="preserve"> referencing style.</w:t>
      </w:r>
    </w:p>
    <w:p>
      <w:pPr>
        <w:pStyle w:val="Normal"/>
        <w:rPr/>
      </w:pPr>
      <w:r>
        <w:rPr/>
      </w:r>
    </w:p>
    <w:p>
      <w:pPr>
        <w:pStyle w:val="NormalWeb"/>
        <w:shd w:val="clear" w:color="auto" w:fill="FFFFFF"/>
        <w:spacing w:beforeAutospacing="0" w:before="0" w:afterAutospacing="0" w:after="0"/>
        <w:rPr/>
      </w:pPr>
      <w:r>
        <w:rPr>
          <w:rFonts w:cs="Times"/>
          <w:color w:val="222222"/>
          <w:spacing w:val="3"/>
          <w:szCs w:val="26"/>
        </w:rPr>
        <w:t>In line with emerging </w:t>
      </w:r>
      <w:hyperlink r:id="rId3">
        <w:r>
          <w:rPr>
            <w:rStyle w:val="InternetLink"/>
            <w:rFonts w:cs="Times"/>
            <w:color w:val="006699"/>
            <w:spacing w:val="3"/>
            <w:szCs w:val="26"/>
          </w:rPr>
          <w:t>industry-wide standards for data citation</w:t>
        </w:r>
      </w:hyperlink>
      <w:r>
        <w:rPr>
          <w:rFonts w:cs="Times"/>
          <w:color w:val="222222"/>
          <w:spacing w:val="3"/>
          <w:szCs w:val="26"/>
        </w:rPr>
        <w:t>, references to all datasets described or used in the manuscript should be cited in the text with a superscript number and listed in the ‘References’ section in the same manner as a conventional literature reference. See ‘Citing Data’ below for further details.</w:t>
      </w:r>
      <w:r>
        <w:br w:type="page"/>
      </w:r>
    </w:p>
    <w:p>
      <w:pPr>
        <w:pStyle w:val="Heading3"/>
        <w:spacing w:before="60" w:after="0"/>
        <w:rPr/>
      </w:pPr>
      <w:r>
        <w:rPr/>
        <w:t>Additional Formatting Information</w:t>
      </w:r>
    </w:p>
    <w:p>
      <w:pPr>
        <w:pStyle w:val="Normal"/>
        <w:spacing w:before="120" w:after="0"/>
        <w:rPr>
          <w:rStyle w:val="Strong"/>
        </w:rPr>
      </w:pPr>
      <w:r>
        <w:rPr>
          <w:rStyle w:val="Strong"/>
        </w:rPr>
        <w:t>Referencing Figures, Tables, and other content</w:t>
      </w:r>
    </w:p>
    <w:p>
      <w:pPr>
        <w:pStyle w:val="Normal"/>
        <w:rPr>
          <w:bCs/>
        </w:rPr>
      </w:pPr>
      <w:r>
        <w:rPr>
          <w:rStyle w:val="Strong"/>
          <w:b w:val="false"/>
        </w:rPr>
        <w:t>The Word document may reference Figures (e.g. Fig. 1), Tables (e.g. Table 1), online-only tables (e.g. Online-only Table 1) and Supplementary Information (e.g. Supplementary Table 1, or Supplementary File 2, etc.). When information from metadata documents must be referred to, it should also be included in the main manuscript as Tables, and formatted in a way that suits human readability. To refer to the ISA-Tab metadata records within the manuscript, use the phrase “see associated Metadata Record”.</w:t>
      </w:r>
    </w:p>
    <w:p>
      <w:pPr>
        <w:pStyle w:val="Normal"/>
        <w:rPr/>
      </w:pPr>
      <w:r>
        <w:rPr/>
      </w:r>
    </w:p>
    <w:p>
      <w:pPr>
        <w:pStyle w:val="Normal"/>
        <w:rPr>
          <w:rStyle w:val="Strong"/>
        </w:rPr>
      </w:pPr>
      <w:r>
        <w:rPr>
          <w:rStyle w:val="Strong"/>
        </w:rPr>
        <w:t>Citation format</w:t>
      </w:r>
    </w:p>
    <w:p>
      <w:pPr>
        <w:pStyle w:val="NormalWeb"/>
        <w:spacing w:beforeAutospacing="0" w:before="0" w:afterAutospacing="0" w:after="0"/>
        <w:rPr/>
      </w:pPr>
      <w:r>
        <w:rP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pPr>
        <w:pStyle w:val="NormalWeb"/>
        <w:spacing w:before="60" w:after="280"/>
        <w:rPr/>
      </w:pPr>
      <w:r>
        <w:rP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pPr>
        <w:pStyle w:val="NormalWeb"/>
        <w:spacing w:before="60" w:afterAutospacing="0" w:after="0"/>
        <w:jc w:val="left"/>
        <w:rPr/>
      </w:pPr>
      <w:r>
        <w:rPr>
          <w:b/>
        </w:rPr>
        <w:t>Journal Article</w:t>
      </w:r>
      <w:r>
        <w:rPr/>
        <w:t>:</w:t>
      </w:r>
    </w:p>
    <w:p>
      <w:pPr>
        <w:pStyle w:val="NormalWeb"/>
        <w:numPr>
          <w:ilvl w:val="0"/>
          <w:numId w:val="1"/>
        </w:numPr>
        <w:spacing w:beforeAutospacing="0" w:before="0" w:after="280"/>
        <w:jc w:val="left"/>
        <w:rPr/>
      </w:pPr>
      <w:r>
        <w:rPr/>
        <w:t xml:space="preserve">Schott, D. H., Collins, R. N. &amp; Bretscher, A. Secretory vesicle transport velocity in living cells depends on the myosin V lever arm length. </w:t>
      </w:r>
      <w:r>
        <w:rPr>
          <w:i/>
        </w:rPr>
        <w:t>J. Cell Biol</w:t>
      </w:r>
      <w:r>
        <w:rPr/>
        <w:t xml:space="preserve">. </w:t>
      </w:r>
      <w:r>
        <w:rPr>
          <w:b/>
        </w:rPr>
        <w:t>156</w:t>
      </w:r>
      <w:r>
        <w:rPr/>
        <w:t xml:space="preserve">, 35‐39 (2002). </w:t>
      </w:r>
    </w:p>
    <w:p>
      <w:pPr>
        <w:pStyle w:val="NormalWeb"/>
        <w:spacing w:before="60" w:afterAutospacing="0" w:after="0"/>
        <w:jc w:val="left"/>
        <w:rPr/>
      </w:pPr>
      <w:r>
        <w:rPr>
          <w:b/>
        </w:rPr>
        <w:t>Book</w:t>
      </w:r>
      <w:r>
        <w:rPr/>
        <w:t xml:space="preserve"> ‐ Book titles should be given in italics and all words in the title should have initial capitals:</w:t>
      </w:r>
    </w:p>
    <w:p>
      <w:pPr>
        <w:pStyle w:val="NormalWeb"/>
        <w:numPr>
          <w:ilvl w:val="0"/>
          <w:numId w:val="1"/>
        </w:numPr>
        <w:spacing w:beforeAutospacing="0" w:before="0" w:after="280"/>
        <w:jc w:val="left"/>
        <w:rPr/>
      </w:pPr>
      <w:r>
        <w:rPr/>
        <w:t xml:space="preserve">Hogan, B. </w:t>
      </w:r>
      <w:r>
        <w:rPr>
          <w:i/>
        </w:rPr>
        <w:t>Manipulating The Mouse Embryo: A Laboratory Manual</w:t>
      </w:r>
      <w:r>
        <w:rPr/>
        <w:t xml:space="preserve"> 2nd edn (Cold Spring Harbor Laboratory Press, 1994) </w:t>
      </w:r>
    </w:p>
    <w:p>
      <w:pPr>
        <w:pStyle w:val="NormalWeb"/>
        <w:spacing w:before="60" w:afterAutospacing="0" w:after="0"/>
        <w:jc w:val="left"/>
        <w:rPr>
          <w:b/>
          <w:b/>
        </w:rPr>
      </w:pPr>
      <w:r>
        <w:rPr>
          <w:b/>
        </w:rPr>
        <w:t>Publicly available preprint:</w:t>
      </w:r>
    </w:p>
    <w:p>
      <w:pPr>
        <w:pStyle w:val="NormalWeb"/>
        <w:numPr>
          <w:ilvl w:val="0"/>
          <w:numId w:val="1"/>
        </w:numPr>
        <w:spacing w:beforeAutospacing="0" w:before="0" w:after="280"/>
        <w:jc w:val="left"/>
        <w:rPr/>
      </w:pPr>
      <w:r>
        <w:rPr/>
        <w:t xml:space="preserve">Babichev, S. A., Ries, J. &amp; Lvovsky, A. I. Quantum scissors: teleportation of single-mode optical states by means of nonlocal single photon. Preprint at http://arXiv.org/quant-ph/0208066 (2002). </w:t>
      </w:r>
    </w:p>
    <w:p>
      <w:pPr>
        <w:pStyle w:val="Normal"/>
        <w:jc w:val="left"/>
        <w:rPr>
          <w:b/>
          <w:b/>
        </w:rPr>
      </w:pPr>
      <w:r>
        <w:rPr>
          <w:b/>
        </w:rPr>
        <w:t>Code:</w:t>
      </w:r>
    </w:p>
    <w:p>
      <w:pPr>
        <w:pStyle w:val="NormalWeb"/>
        <w:numPr>
          <w:ilvl w:val="0"/>
          <w:numId w:val="1"/>
        </w:numPr>
        <w:spacing w:beforeAutospacing="0" w:before="0" w:after="280"/>
        <w:jc w:val="left"/>
        <w:rPr/>
      </w:pPr>
      <w:r>
        <w:rPr/>
        <w:t xml:space="preserve">Gallotti, R. &amp; Barthélemy, M. Source code for: The multilayer temporal network of public transport in Great Britain. </w:t>
      </w:r>
      <w:r>
        <w:rPr>
          <w:i/>
        </w:rPr>
        <w:t>Figshare</w:t>
      </w:r>
      <w:r>
        <w:rPr/>
        <w:t xml:space="preserve"> https://dx.doi.org/10.6084/m9.figshare.1249862.v1 (2014). </w:t>
      </w:r>
    </w:p>
    <w:p>
      <w:pPr>
        <w:pStyle w:val="NormalWeb"/>
        <w:spacing w:before="60" w:afterAutospacing="0" w:after="0"/>
        <w:jc w:val="left"/>
        <w:rPr/>
      </w:pPr>
      <w:r>
        <w:rPr>
          <w:b/>
        </w:rPr>
        <w:t>Online material</w:t>
      </w:r>
      <w:r>
        <w:rPr/>
        <w:t xml:space="preserve"> ‐ Stable documents hosted on the web may be cited in the main reference list, using the format below. Websites or dynamic web resources should be cited by embedding the URL in the main article text:</w:t>
      </w:r>
    </w:p>
    <w:p>
      <w:pPr>
        <w:pStyle w:val="NormalWeb"/>
        <w:numPr>
          <w:ilvl w:val="0"/>
          <w:numId w:val="1"/>
        </w:numPr>
        <w:spacing w:beforeAutospacing="0" w:before="0" w:afterAutospacing="0" w:after="0"/>
        <w:jc w:val="left"/>
        <w:rPr/>
      </w:pPr>
      <w:r>
        <w:rPr/>
        <w:t xml:space="preserve">Manaster, J. Sloth squeak. </w:t>
      </w:r>
      <w:r>
        <w:rPr>
          <w:i/>
        </w:rPr>
        <w:t>Scientific American Blog Network</w:t>
      </w:r>
      <w:r>
        <w:rPr/>
        <w:t xml:space="preserve"> http://blogs.scientificamerican.com/psi-vid/2014/04/09/sloth-squeak (2014).</w:t>
      </w:r>
    </w:p>
    <w:p>
      <w:pPr>
        <w:pStyle w:val="NormalWeb"/>
        <w:spacing w:beforeAutospacing="0" w:before="0" w:afterAutospacing="0" w:after="0"/>
        <w:jc w:val="left"/>
        <w:rPr/>
      </w:pPr>
      <w:r>
        <w:rPr/>
      </w:r>
    </w:p>
    <w:p>
      <w:pPr>
        <w:pStyle w:val="NormalWeb"/>
        <w:spacing w:beforeAutospacing="0" w:before="0" w:afterAutospacing="0" w:after="0"/>
        <w:jc w:val="left"/>
        <w:rPr>
          <w:b/>
          <w:b/>
        </w:rPr>
      </w:pPr>
      <w:r>
        <w:rPr>
          <w:b/>
        </w:rPr>
        <w:t>Technical or government report:</w:t>
      </w:r>
    </w:p>
    <w:p>
      <w:pPr>
        <w:pStyle w:val="NormalWeb"/>
        <w:numPr>
          <w:ilvl w:val="0"/>
          <w:numId w:val="1"/>
        </w:numPr>
        <w:spacing w:beforeAutospacing="0" w:before="0" w:afterAutospacing="0" w:after="0"/>
        <w:jc w:val="left"/>
        <w:rPr/>
      </w:pPr>
      <w:r>
        <w:rPr/>
        <w:t xml:space="preserve">Akutsu, T. </w:t>
      </w:r>
      <w:r>
        <w:rPr>
          <w:i/>
        </w:rPr>
        <w:t>Total Heart Replacement Device.</w:t>
      </w:r>
      <w:r>
        <w:rPr/>
        <w:t xml:space="preserve"> Report No. NIH-NHLI-69 2185-4 (National Institutes of Health, 1974). </w:t>
      </w:r>
    </w:p>
    <w:p>
      <w:pPr>
        <w:pStyle w:val="NormalWeb"/>
        <w:spacing w:beforeAutospacing="0" w:before="0" w:afterAutospacing="0" w:after="0"/>
        <w:jc w:val="left"/>
        <w:rPr/>
      </w:pPr>
      <w:r>
        <w:rPr/>
      </w:r>
    </w:p>
    <w:p>
      <w:pPr>
        <w:pStyle w:val="NormalWeb"/>
        <w:spacing w:beforeAutospacing="0" w:before="60" w:afterAutospacing="0" w:after="0"/>
        <w:rPr>
          <w:b/>
          <w:b/>
        </w:rPr>
      </w:pPr>
      <w:r>
        <w:rPr>
          <w:b/>
        </w:rPr>
      </w:r>
    </w:p>
    <w:p>
      <w:pPr>
        <w:pStyle w:val="Heading2"/>
        <w:shd w:val="clear" w:color="auto" w:fill="FFFFFF"/>
        <w:spacing w:before="0" w:after="0"/>
        <w:rPr>
          <w:rFonts w:ascii="Calibri" w:hAnsi="Calibri" w:cs="Times" w:asciiTheme="minorHAnsi" w:hAnsiTheme="minorHAnsi"/>
          <w:bCs w:val="false"/>
          <w:i w:val="false"/>
          <w:i w:val="false"/>
          <w:color w:val="222222"/>
          <w:spacing w:val="3"/>
          <w:sz w:val="22"/>
          <w:szCs w:val="22"/>
        </w:rPr>
      </w:pPr>
      <w:r>
        <w:rPr>
          <w:rFonts w:cs="Times" w:ascii="Calibri" w:hAnsi="Calibri" w:asciiTheme="minorHAnsi" w:hAnsiTheme="minorHAnsi"/>
          <w:bCs w:val="false"/>
          <w:i w:val="false"/>
          <w:color w:val="222222"/>
          <w:spacing w:val="3"/>
          <w:sz w:val="22"/>
          <w:szCs w:val="22"/>
        </w:rPr>
        <w:t>Citing Data</w:t>
      </w:r>
    </w:p>
    <w:p>
      <w:pPr>
        <w:pStyle w:val="NormalWeb"/>
        <w:shd w:val="clear" w:color="auto" w:fill="FFFFFF"/>
        <w:spacing w:beforeAutospacing="0" w:before="0" w:afterAutospacing="0" w:after="420"/>
        <w:rPr/>
      </w:pPr>
      <w:r>
        <w:rPr>
          <w:rFonts w:cs="Times"/>
          <w:color w:val="222222"/>
          <w:spacing w:val="3"/>
        </w:rPr>
        <w:t>In line with emerging </w:t>
      </w:r>
      <w:hyperlink r:id="rId4">
        <w:r>
          <w:rPr>
            <w:rStyle w:val="InternetLink"/>
            <w:rFonts w:cs="Times"/>
            <w:color w:val="006699"/>
            <w:spacing w:val="3"/>
          </w:rPr>
          <w:t>industry-wide standards for data citation</w:t>
        </w:r>
      </w:hyperlink>
      <w:r>
        <w:rPr>
          <w:rFonts w:cs="Times"/>
          <w:color w:val="222222"/>
          <w:spacing w:val="3"/>
        </w:rPr>
        <w:t>, references to all datasets described or used in the manuscript should be cited in the text with a superscript number and listed in the ‘References’ section in the same manner as a conventional literature reference.</w:t>
      </w:r>
    </w:p>
    <w:p>
      <w:pPr>
        <w:pStyle w:val="NormalWeb"/>
        <w:shd w:val="clear" w:color="auto" w:fill="FFFFFF"/>
        <w:spacing w:beforeAutospacing="0" w:before="0" w:afterAutospacing="0" w:after="420"/>
        <w:rPr/>
      </w:pPr>
      <w:r>
        <w:rPr>
          <w:rFonts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r>
          <w:rPr>
            <w:rStyle w:val="InternetLink"/>
            <w:rFonts w:cs="Times"/>
            <w:color w:val="006699"/>
            <w:spacing w:val="3"/>
          </w:rPr>
          <w:t>identifiers.org</w:t>
        </w:r>
      </w:hyperlink>
      <w:r>
        <w:rPr>
          <w:rFonts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pPr>
        <w:pStyle w:val="Normal"/>
        <w:numPr>
          <w:ilvl w:val="0"/>
          <w:numId w:val="2"/>
        </w:numPr>
        <w:shd w:val="clear" w:color="auto" w:fill="FFFFFF"/>
        <w:spacing w:beforeAutospacing="1" w:after="0"/>
        <w:jc w:val="left"/>
        <w:rPr/>
      </w:pPr>
      <w:r>
        <w:rPr>
          <w:rFonts w:cs="Times"/>
          <w:color w:val="222222"/>
          <w:spacing w:val="3"/>
        </w:rPr>
        <w:t>Zhang, Q-L., Chen, J-Y., Lin, L-B., Wang, F., Guo, J., Deng, X-Y. Characterization of ladybird Henosepilachna vigintioctopunctata transcriptomes across various life stages. </w:t>
      </w:r>
      <w:r>
        <w:rPr>
          <w:rStyle w:val="Emphasis"/>
          <w:rFonts w:cs="Times"/>
          <w:color w:val="222222"/>
          <w:spacing w:val="3"/>
        </w:rPr>
        <w:t>figshare</w:t>
      </w:r>
      <w:r>
        <w:rPr>
          <w:rFonts w:cs="Times"/>
          <w:color w:val="222222"/>
          <w:spacing w:val="3"/>
        </w:rPr>
        <w:t> </w:t>
      </w:r>
      <w:hyperlink r:id="rId6">
        <w:r>
          <w:rPr>
            <w:rStyle w:val="InternetLink"/>
            <w:rFonts w:cs="Times"/>
            <w:color w:val="006699"/>
            <w:spacing w:val="3"/>
          </w:rPr>
          <w:t>https://doi.org/10.6084/m9.figshare.c.4064768.v3</w:t>
        </w:r>
      </w:hyperlink>
      <w:r>
        <w:rPr>
          <w:rFonts w:cs="Times"/>
          <w:color w:val="222222"/>
          <w:spacing w:val="3"/>
        </w:rPr>
        <w:t> (2018).</w:t>
      </w:r>
    </w:p>
    <w:p>
      <w:pPr>
        <w:pStyle w:val="Normal"/>
        <w:numPr>
          <w:ilvl w:val="0"/>
          <w:numId w:val="2"/>
        </w:numPr>
        <w:shd w:val="clear" w:color="auto" w:fill="FFFFFF"/>
        <w:spacing w:before="0" w:after="0"/>
        <w:jc w:val="left"/>
        <w:rPr/>
      </w:pPr>
      <w:r>
        <w:rPr>
          <w:rStyle w:val="Emphasis"/>
          <w:rFonts w:cs="Times"/>
          <w:color w:val="222222"/>
          <w:spacing w:val="3"/>
        </w:rPr>
        <w:t>NCBI Sequence Read Archive</w:t>
      </w:r>
      <w:r>
        <w:rPr>
          <w:rFonts w:cs="Times"/>
          <w:color w:val="222222"/>
          <w:spacing w:val="3"/>
        </w:rPr>
        <w:t> </w:t>
      </w:r>
      <w:hyperlink r:id="rId7">
        <w:r>
          <w:rPr>
            <w:rStyle w:val="InternetLink"/>
            <w:rFonts w:cs="Times"/>
            <w:color w:val="006699"/>
            <w:spacing w:val="3"/>
          </w:rPr>
          <w:t>http://identifiers.org/ncbi/insdc.sra:SRP121625</w:t>
        </w:r>
      </w:hyperlink>
      <w:r>
        <w:rPr>
          <w:rFonts w:cs="Times"/>
          <w:color w:val="222222"/>
          <w:spacing w:val="3"/>
        </w:rPr>
        <w:t> (2017).</w:t>
      </w:r>
    </w:p>
    <w:p>
      <w:pPr>
        <w:pStyle w:val="Normal"/>
        <w:numPr>
          <w:ilvl w:val="0"/>
          <w:numId w:val="2"/>
        </w:numPr>
        <w:shd w:val="clear" w:color="auto" w:fill="FFFFFF"/>
        <w:spacing w:before="0" w:after="0"/>
        <w:jc w:val="left"/>
        <w:rPr/>
      </w:pPr>
      <w:r>
        <w:rPr>
          <w:rFonts w:cs="Times"/>
          <w:color w:val="222222"/>
          <w:spacing w:val="3"/>
        </w:rPr>
        <w:t>Barbosa, P., Usie, A. and Ramos, A. M. Quercus suber isolate HL8, whole genome shotgun sequencing project. </w:t>
      </w:r>
      <w:r>
        <w:rPr>
          <w:rStyle w:val="Emphasis"/>
          <w:rFonts w:cs="Times"/>
          <w:color w:val="222222"/>
          <w:spacing w:val="3"/>
        </w:rPr>
        <w:t>GenBank</w:t>
      </w:r>
      <w:hyperlink r:id="rId8">
        <w:r>
          <w:rPr>
            <w:rStyle w:val="InternetLink"/>
            <w:rFonts w:cs="Times"/>
            <w:color w:val="006699"/>
            <w:spacing w:val="3"/>
          </w:rPr>
          <w:t>http://identifiers.org/ncbi/insdc:PKMF00000000</w:t>
        </w:r>
      </w:hyperlink>
      <w:r>
        <w:rPr>
          <w:rFonts w:cs="Times"/>
          <w:color w:val="222222"/>
          <w:spacing w:val="3"/>
        </w:rPr>
        <w:t> (2018).</w:t>
      </w:r>
    </w:p>
    <w:p>
      <w:pPr>
        <w:pStyle w:val="Normal"/>
        <w:numPr>
          <w:ilvl w:val="0"/>
          <w:numId w:val="2"/>
        </w:numPr>
        <w:shd w:val="clear" w:color="auto" w:fill="FFFFFF"/>
        <w:spacing w:before="0" w:afterAutospacing="1"/>
        <w:jc w:val="left"/>
        <w:rPr/>
      </w:pPr>
      <w:r>
        <w:rPr>
          <w:rStyle w:val="Emphasis"/>
          <w:rFonts w:cs="Times"/>
          <w:color w:val="222222"/>
          <w:spacing w:val="3"/>
        </w:rPr>
        <w:t>DNA Data Bank of Japan</w:t>
      </w:r>
      <w:r>
        <w:rPr>
          <w:rFonts w:cs="Times"/>
          <w:color w:val="222222"/>
          <w:spacing w:val="3"/>
        </w:rPr>
        <w:t> </w:t>
      </w:r>
      <w:hyperlink r:id="rId9">
        <w:r>
          <w:rPr>
            <w:rStyle w:val="InternetLink"/>
            <w:rFonts w:cs="Times"/>
            <w:color w:val="006699"/>
            <w:spacing w:val="3"/>
          </w:rPr>
          <w:t>http://trace.ddbj.nig.ac.jp/DRASearch/submission?acc=DRA004814</w:t>
        </w:r>
      </w:hyperlink>
      <w:r>
        <w:rPr>
          <w:rFonts w:cs="Times"/>
          <w:color w:val="222222"/>
          <w:spacing w:val="3"/>
        </w:rPr>
        <w:t> (2016).</w:t>
      </w:r>
    </w:p>
    <w:p>
      <w:pPr>
        <w:pStyle w:val="Normal"/>
        <w:widowControl w:val="false"/>
        <w:spacing w:before="60" w:after="0"/>
        <w:rPr>
          <w:rFonts w:cs="Calibri"/>
          <w:lang w:val="en-US" w:eastAsia="en-US"/>
        </w:rPr>
      </w:pPr>
      <w:r>
        <w:rPr>
          <w:rFonts w:cs="Calibri"/>
          <w:lang w:val="en-US" w:eastAsia="en-US"/>
        </w:rPr>
      </w:r>
    </w:p>
    <w:p>
      <w:pPr>
        <w:pStyle w:val="Normal"/>
        <w:widowControl w:val="false"/>
        <w:rPr>
          <w:rFonts w:cs="Calibri"/>
          <w:b/>
          <w:b/>
          <w:lang w:val="en-US" w:eastAsia="en-US"/>
        </w:rPr>
      </w:pPr>
      <w:r>
        <w:rPr>
          <w:rFonts w:cs="Calibri"/>
          <w:b/>
          <w:lang w:val="en-US" w:eastAsia="en-US"/>
        </w:rPr>
        <w:t xml:space="preserve">Manuscript metadata tables </w:t>
      </w:r>
    </w:p>
    <w:p>
      <w:pPr>
        <w:pStyle w:val="Normal"/>
        <w:rPr/>
      </w:pPr>
      <w:r>
        <w:rPr>
          <w:lang w:val="en-US" w:eastAsia="en-US"/>
        </w:rPr>
        <w:t>Authors are are asked to submit one or more tables presenting, at a minimum, the samples and subjects employed in the study, the experimental, observational and analytical manipulations performed on each, and the data outputs resulting from these manipulations with their manuscript. Please also see Data Records and Tables, above; please note that, should you wish to create more complex metadata records, template Study and Assay files are available either in a ZIP archive with this document or for separate download from the “</w:t>
      </w:r>
      <w:hyperlink r:id="rId10">
        <w:r>
          <w:rPr>
            <w:rStyle w:val="InternetLink"/>
            <w:lang w:val="en-US" w:eastAsia="en-US"/>
          </w:rPr>
          <w:t>Submission guidelines</w:t>
        </w:r>
      </w:hyperlink>
      <w:r>
        <w:rPr>
          <w:lang w:val="en-US" w:eastAsia="en-US"/>
        </w:rPr>
        <w:t xml:space="preserve">” page </w:t>
      </w:r>
      <w:r>
        <w:rPr>
          <w:rFonts w:asciiTheme="minorHAnsi" w:hAnsiTheme="minorHAnsi"/>
          <w:lang w:val="en-US" w:eastAsia="en-US"/>
        </w:rPr>
        <w:t xml:space="preserve">of the </w:t>
      </w:r>
      <w:r>
        <w:rPr>
          <w:rFonts w:asciiTheme="minorHAnsi" w:hAnsiTheme="minorHAnsi"/>
          <w:i/>
          <w:lang w:val="en-US" w:eastAsia="en-US"/>
        </w:rPr>
        <w:t>Scientific Data</w:t>
      </w:r>
      <w:r>
        <w:rPr>
          <w:rFonts w:asciiTheme="minorHAnsi" w:hAnsiTheme="minorHAnsi"/>
          <w:lang w:val="en-US" w:eastAsia="en-US"/>
        </w:rPr>
        <w:t xml:space="preserve"> website.</w:t>
      </w:r>
    </w:p>
    <w:p>
      <w:pPr>
        <w:pStyle w:val="Normal"/>
        <w:widowControl w:val="false"/>
        <w:rPr>
          <w:rFonts w:ascii="Calibri" w:hAnsi="Calibri" w:cs="Calibri" w:asciiTheme="minorHAnsi" w:hAnsiTheme="minorHAnsi"/>
          <w:lang w:val="en-US" w:eastAsia="en-US"/>
        </w:rPr>
      </w:pPr>
      <w:r>
        <w:rPr>
          <w:rFonts w:cs="Calibri"/>
          <w:lang w:val="en-US" w:eastAsia="en-US"/>
        </w:rPr>
      </w:r>
    </w:p>
    <w:p>
      <w:pPr>
        <w:pStyle w:val="Normal"/>
        <w:rPr>
          <w:rFonts w:ascii="Calibri" w:hAnsi="Calibri" w:cs="Arial" w:asciiTheme="minorHAnsi" w:hAnsiTheme="minorHAnsi"/>
        </w:rPr>
      </w:pPr>
      <w:r>
        <w:rPr>
          <w:rFonts w:cs="Arial"/>
        </w:rPr>
        <w:t xml:space="preserve">Here, we provide four generic ‘Table 1’ examples, including two experimental study examples, one observational study example, and an example for an aggregated dataset of the type that may result from a meta-analysis. </w:t>
      </w:r>
    </w:p>
    <w:p>
      <w:pPr>
        <w:pStyle w:val="Normal"/>
        <w:widowControl w:val="false"/>
        <w:spacing w:before="120" w:after="0"/>
        <w:rPr>
          <w:rFonts w:ascii="Arial" w:hAnsi="Arial" w:cs="Arial"/>
          <w:color w:val="363636"/>
          <w:sz w:val="21"/>
          <w:szCs w:val="21"/>
        </w:rPr>
      </w:pPr>
      <w:r>
        <w:rPr>
          <w:rFonts w:cs="Arial" w:ascii="Arial" w:hAnsi="Arial"/>
          <w:color w:val="363636"/>
          <w:sz w:val="21"/>
          <w:szCs w:val="21"/>
        </w:rPr>
      </w:r>
    </w:p>
    <w:p>
      <w:pPr>
        <w:pStyle w:val="Normal"/>
        <w:shd w:val="clear" w:color="auto" w:fill="FFFFFF"/>
        <w:spacing w:lineRule="atLeast" w:line="368" w:before="0" w:after="360"/>
        <w:rPr>
          <w:rFonts w:ascii="Arial" w:hAnsi="Arial" w:cs="Arial"/>
          <w:color w:val="363636"/>
          <w:sz w:val="21"/>
          <w:szCs w:val="21"/>
        </w:rPr>
      </w:pPr>
      <w:r>
        <w:rPr>
          <w:rFonts w:cs="Arial" w:ascii="Arial" w:hAnsi="Arial"/>
          <w:b/>
          <w:bCs/>
          <w:color w:val="363636"/>
          <w:sz w:val="21"/>
          <w:szCs w:val="21"/>
        </w:rPr>
        <w:t>Experimental study Table 1 example</w:t>
      </w:r>
    </w:p>
    <w:tbl>
      <w:tblPr>
        <w:tblW w:w="9345" w:type="dxa"/>
        <w:jc w:val="left"/>
        <w:tblInd w:w="135" w:type="dxa"/>
        <w:tblCellMar>
          <w:top w:w="75" w:type="dxa"/>
          <w:left w:w="150" w:type="dxa"/>
          <w:bottom w:w="75" w:type="dxa"/>
          <w:right w:w="150" w:type="dxa"/>
        </w:tblCellMar>
        <w:tblLook w:val="04a0" w:noVBand="1" w:noHBand="0" w:lastColumn="0" w:firstColumn="1" w:lastRow="0" w:firstRow="1"/>
      </w:tblPr>
      <w:tblGrid>
        <w:gridCol w:w="1204"/>
        <w:gridCol w:w="1738"/>
        <w:gridCol w:w="1787"/>
        <w:gridCol w:w="1748"/>
        <w:gridCol w:w="1360"/>
        <w:gridCol w:w="1507"/>
      </w:tblGrid>
      <w:tr>
        <w:trPr/>
        <w:tc>
          <w:tcPr>
            <w:tcW w:w="1204" w:type="dxa"/>
            <w:tcBorders>
              <w:top w:val="single" w:sz="4" w:space="0" w:color="000000"/>
              <w:left w:val="single" w:sz="4" w:space="0" w:color="000000"/>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Subjects</w:t>
            </w:r>
          </w:p>
        </w:tc>
        <w:tc>
          <w:tcPr>
            <w:tcW w:w="1738"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1</w:t>
            </w:r>
          </w:p>
        </w:tc>
        <w:tc>
          <w:tcPr>
            <w:tcW w:w="1787"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2</w:t>
            </w:r>
          </w:p>
        </w:tc>
        <w:tc>
          <w:tcPr>
            <w:tcW w:w="1748"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3</w:t>
            </w:r>
          </w:p>
        </w:tc>
        <w:tc>
          <w:tcPr>
            <w:tcW w:w="1360"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4</w:t>
            </w:r>
          </w:p>
        </w:tc>
        <w:tc>
          <w:tcPr>
            <w:tcW w:w="1507" w:type="dxa"/>
            <w:tcBorders>
              <w:top w:val="single" w:sz="4" w:space="0" w:color="000000"/>
              <w:left w:val="single" w:sz="6" w:space="0" w:color="E7E7E7"/>
              <w:right w:val="single" w:sz="4" w:space="0" w:color="000000"/>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Data</w:t>
            </w:r>
          </w:p>
        </w:tc>
      </w:tr>
      <w:tr>
        <w:trPr/>
        <w:tc>
          <w:tcPr>
            <w:tcW w:w="1204" w:type="dxa"/>
            <w:tcBorders>
              <w:left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Mouse1</w:t>
            </w:r>
          </w:p>
        </w:tc>
        <w:tc>
          <w:tcPr>
            <w:tcW w:w="1738"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787"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Liver dissection</w:t>
            </w:r>
          </w:p>
        </w:tc>
        <w:tc>
          <w:tcPr>
            <w:tcW w:w="1748"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360"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RNA-Seq</w:t>
            </w:r>
          </w:p>
        </w:tc>
        <w:tc>
          <w:tcPr>
            <w:tcW w:w="1507" w:type="dxa"/>
            <w:tcBorders>
              <w:left w:val="single" w:sz="6" w:space="0" w:color="E7E7E7"/>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204" w:type="dxa"/>
            <w:tcBorders>
              <w:left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Mouse2</w:t>
            </w:r>
          </w:p>
        </w:tc>
        <w:tc>
          <w:tcPr>
            <w:tcW w:w="1738"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Drug treatment</w:t>
            </w:r>
          </w:p>
        </w:tc>
        <w:tc>
          <w:tcPr>
            <w:tcW w:w="1787"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Liver dissection</w:t>
            </w:r>
          </w:p>
        </w:tc>
        <w:tc>
          <w:tcPr>
            <w:tcW w:w="1748"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 extraction</w:t>
            </w:r>
          </w:p>
        </w:tc>
        <w:tc>
          <w:tcPr>
            <w:tcW w:w="1360"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RNA-Seq</w:t>
            </w:r>
          </w:p>
        </w:tc>
        <w:tc>
          <w:tcPr>
            <w:tcW w:w="1507" w:type="dxa"/>
            <w:tcBorders>
              <w:left w:val="single" w:sz="6" w:space="0" w:color="E7E7E7"/>
              <w:right w:val="single" w:sz="4" w:space="0" w:color="000000"/>
            </w:tcBorders>
            <w:shd w:color="auto" w:fill="F9F9F9"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204" w:type="dxa"/>
            <w:tcBorders>
              <w:left w:val="single" w:sz="4" w:space="0" w:color="000000"/>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Mousen</w:t>
            </w:r>
          </w:p>
        </w:tc>
        <w:tc>
          <w:tcPr>
            <w:tcW w:w="1738" w:type="dxa"/>
            <w:tcBorders>
              <w:left w:val="single" w:sz="6" w:space="0" w:color="E7E7E7"/>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787" w:type="dxa"/>
            <w:tcBorders>
              <w:left w:val="single" w:sz="6" w:space="0" w:color="E7E7E7"/>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Liver dissection</w:t>
            </w:r>
          </w:p>
        </w:tc>
        <w:tc>
          <w:tcPr>
            <w:tcW w:w="1748" w:type="dxa"/>
            <w:tcBorders>
              <w:left w:val="single" w:sz="6" w:space="0" w:color="E7E7E7"/>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360" w:type="dxa"/>
            <w:tcBorders>
              <w:left w:val="single" w:sz="6" w:space="0" w:color="E7E7E7"/>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RNA-Seq</w:t>
            </w:r>
          </w:p>
        </w:tc>
        <w:tc>
          <w:tcPr>
            <w:tcW w:w="1507" w:type="dxa"/>
            <w:tcBorders>
              <w:left w:val="single" w:sz="6" w:space="0" w:color="E7E7E7"/>
              <w:bottom w:val="single" w:sz="4" w:space="0" w:color="000000"/>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bl>
    <w:p>
      <w:pPr>
        <w:pStyle w:val="Normal"/>
        <w:shd w:val="clear" w:color="auto" w:fill="FFFFFF"/>
        <w:spacing w:lineRule="atLeast" w:line="368" w:before="0" w:after="360"/>
        <w:rPr>
          <w:rFonts w:ascii="Arial" w:hAnsi="Arial" w:cs="Arial"/>
          <w:b/>
          <w:b/>
          <w:bCs/>
          <w:color w:val="363636"/>
          <w:sz w:val="21"/>
          <w:szCs w:val="21"/>
        </w:rPr>
      </w:pPr>
      <w:r>
        <w:rPr>
          <w:rFonts w:cs="Arial" w:ascii="Arial" w:hAnsi="Arial"/>
          <w:b/>
          <w:bCs/>
          <w:color w:val="363636"/>
          <w:sz w:val="21"/>
          <w:szCs w:val="21"/>
        </w:rPr>
      </w:r>
    </w:p>
    <w:p>
      <w:pPr>
        <w:pStyle w:val="Normal"/>
        <w:shd w:val="clear" w:color="auto" w:fill="FFFFFF"/>
        <w:spacing w:lineRule="atLeast" w:line="368" w:before="0" w:after="360"/>
        <w:rPr>
          <w:rFonts w:ascii="Arial" w:hAnsi="Arial" w:cs="Arial"/>
          <w:color w:val="363636"/>
          <w:sz w:val="21"/>
          <w:szCs w:val="21"/>
        </w:rPr>
      </w:pPr>
      <w:r>
        <w:rPr>
          <w:rFonts w:cs="Arial" w:ascii="Arial" w:hAnsi="Arial"/>
          <w:b/>
          <w:bCs/>
          <w:color w:val="363636"/>
          <w:sz w:val="21"/>
          <w:szCs w:val="21"/>
        </w:rPr>
        <w:t>Experimental study with replicates Table 1 example</w:t>
      </w:r>
    </w:p>
    <w:tbl>
      <w:tblPr>
        <w:tblW w:w="9345" w:type="dxa"/>
        <w:jc w:val="left"/>
        <w:tblInd w:w="135" w:type="dxa"/>
        <w:tblCellMar>
          <w:top w:w="75" w:type="dxa"/>
          <w:left w:w="150" w:type="dxa"/>
          <w:bottom w:w="75" w:type="dxa"/>
          <w:right w:w="150" w:type="dxa"/>
        </w:tblCellMar>
        <w:tblLook w:val="04a0" w:noVBand="1" w:noHBand="0" w:lastColumn="0" w:firstColumn="1" w:lastRow="0" w:firstRow="1"/>
      </w:tblPr>
      <w:tblGrid>
        <w:gridCol w:w="1399"/>
        <w:gridCol w:w="1406"/>
        <w:gridCol w:w="1421"/>
        <w:gridCol w:w="1746"/>
        <w:gridCol w:w="1957"/>
        <w:gridCol w:w="1415"/>
      </w:tblGrid>
      <w:tr>
        <w:trPr/>
        <w:tc>
          <w:tcPr>
            <w:tcW w:w="1399" w:type="dxa"/>
            <w:tcBorders>
              <w:top w:val="single" w:sz="4" w:space="0" w:color="000000"/>
              <w:left w:val="single" w:sz="4" w:space="0" w:color="000000"/>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Source</w:t>
            </w:r>
          </w:p>
        </w:tc>
        <w:tc>
          <w:tcPr>
            <w:tcW w:w="1406"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1</w:t>
            </w:r>
          </w:p>
        </w:tc>
        <w:tc>
          <w:tcPr>
            <w:tcW w:w="1421"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2</w:t>
            </w:r>
          </w:p>
        </w:tc>
        <w:tc>
          <w:tcPr>
            <w:tcW w:w="1746"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Samples</w:t>
            </w:r>
          </w:p>
        </w:tc>
        <w:tc>
          <w:tcPr>
            <w:tcW w:w="1957"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3</w:t>
            </w:r>
          </w:p>
        </w:tc>
        <w:tc>
          <w:tcPr>
            <w:tcW w:w="1415" w:type="dxa"/>
            <w:tcBorders>
              <w:top w:val="single" w:sz="4" w:space="0" w:color="000000"/>
              <w:left w:val="single" w:sz="6" w:space="0" w:color="E7E7E7"/>
              <w:right w:val="single" w:sz="4" w:space="0" w:color="000000"/>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Data</w:t>
            </w:r>
          </w:p>
        </w:tc>
      </w:tr>
      <w:tr>
        <w:trPr/>
        <w:tc>
          <w:tcPr>
            <w:tcW w:w="1399" w:type="dxa"/>
            <w:tcBorders>
              <w:left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CellCulture1</w:t>
            </w:r>
          </w:p>
        </w:tc>
        <w:tc>
          <w:tcPr>
            <w:tcW w:w="140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421"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TechnicalRep1a</w:t>
            </w:r>
          </w:p>
        </w:tc>
        <w:tc>
          <w:tcPr>
            <w:tcW w:w="1957"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5" w:type="dxa"/>
            <w:tcBorders>
              <w:left w:val="single" w:sz="6" w:space="0" w:color="E7E7E7"/>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399" w:type="dxa"/>
            <w:tcBorders>
              <w:left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CellCulture1</w:t>
            </w:r>
          </w:p>
        </w:tc>
        <w:tc>
          <w:tcPr>
            <w:tcW w:w="1406"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Drug treatment</w:t>
            </w:r>
          </w:p>
        </w:tc>
        <w:tc>
          <w:tcPr>
            <w:tcW w:w="1421"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TechnicalRep2a</w:t>
            </w:r>
          </w:p>
        </w:tc>
        <w:tc>
          <w:tcPr>
            <w:tcW w:w="1957"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5" w:type="dxa"/>
            <w:tcBorders>
              <w:left w:val="single" w:sz="6" w:space="0" w:color="E7E7E7"/>
              <w:right w:val="single" w:sz="4" w:space="0" w:color="000000"/>
            </w:tcBorders>
            <w:shd w:color="auto" w:fill="F9F9F9"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399" w:type="dxa"/>
            <w:tcBorders>
              <w:left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CellCulture1</w:t>
            </w:r>
          </w:p>
        </w:tc>
        <w:tc>
          <w:tcPr>
            <w:tcW w:w="140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421"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TechnicalRep3a</w:t>
            </w:r>
          </w:p>
        </w:tc>
        <w:tc>
          <w:tcPr>
            <w:tcW w:w="1957"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5" w:type="dxa"/>
            <w:tcBorders>
              <w:left w:val="single" w:sz="6" w:space="0" w:color="E7E7E7"/>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399" w:type="dxa"/>
            <w:tcBorders>
              <w:left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CellCulture2</w:t>
            </w:r>
          </w:p>
        </w:tc>
        <w:tc>
          <w:tcPr>
            <w:tcW w:w="1406"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Drug treatment</w:t>
            </w:r>
          </w:p>
        </w:tc>
        <w:tc>
          <w:tcPr>
            <w:tcW w:w="1421"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TechnicalRep1b</w:t>
            </w:r>
          </w:p>
        </w:tc>
        <w:tc>
          <w:tcPr>
            <w:tcW w:w="1957"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5" w:type="dxa"/>
            <w:tcBorders>
              <w:left w:val="single" w:sz="6" w:space="0" w:color="E7E7E7"/>
              <w:right w:val="single" w:sz="4" w:space="0" w:color="000000"/>
            </w:tcBorders>
            <w:shd w:color="auto" w:fill="F9F9F9"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399" w:type="dxa"/>
            <w:tcBorders>
              <w:left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CellCulture2</w:t>
            </w:r>
          </w:p>
        </w:tc>
        <w:tc>
          <w:tcPr>
            <w:tcW w:w="140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421"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TechnicalRep2b</w:t>
            </w:r>
          </w:p>
        </w:tc>
        <w:tc>
          <w:tcPr>
            <w:tcW w:w="1957"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5" w:type="dxa"/>
            <w:tcBorders>
              <w:left w:val="single" w:sz="6" w:space="0" w:color="E7E7E7"/>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399" w:type="dxa"/>
            <w:tcBorders>
              <w:left w:val="single" w:sz="4" w:space="0" w:color="000000"/>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CellCulture2</w:t>
            </w:r>
          </w:p>
        </w:tc>
        <w:tc>
          <w:tcPr>
            <w:tcW w:w="1406" w:type="dxa"/>
            <w:tcBorders>
              <w:left w:val="single" w:sz="6" w:space="0" w:color="E7E7E7"/>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Drug treatment</w:t>
            </w:r>
          </w:p>
        </w:tc>
        <w:tc>
          <w:tcPr>
            <w:tcW w:w="1421" w:type="dxa"/>
            <w:tcBorders>
              <w:left w:val="single" w:sz="6" w:space="0" w:color="E7E7E7"/>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TechnicalRep3b</w:t>
            </w:r>
          </w:p>
        </w:tc>
        <w:tc>
          <w:tcPr>
            <w:tcW w:w="1957" w:type="dxa"/>
            <w:tcBorders>
              <w:left w:val="single" w:sz="6" w:space="0" w:color="E7E7E7"/>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5" w:type="dxa"/>
            <w:tcBorders>
              <w:left w:val="single" w:sz="6" w:space="0" w:color="E7E7E7"/>
              <w:bottom w:val="single" w:sz="4" w:space="0" w:color="000000"/>
              <w:right w:val="single" w:sz="4" w:space="0" w:color="000000"/>
            </w:tcBorders>
            <w:shd w:color="auto" w:fill="F9F9F9" w:val="clear"/>
          </w:tcPr>
          <w:p>
            <w:pPr>
              <w:pStyle w:val="Normal"/>
              <w:spacing w:before="0" w:after="360"/>
              <w:rPr>
                <w:rFonts w:ascii="Arial" w:hAnsi="Arial" w:cs="Arial"/>
                <w:sz w:val="20"/>
                <w:szCs w:val="20"/>
              </w:rPr>
            </w:pPr>
            <w:r>
              <w:rPr>
                <w:rFonts w:cs="Arial" w:ascii="Arial" w:hAnsi="Arial"/>
                <w:sz w:val="20"/>
                <w:szCs w:val="20"/>
              </w:rPr>
              <w:t>GEOXXXXX</w:t>
            </w:r>
          </w:p>
        </w:tc>
      </w:tr>
    </w:tbl>
    <w:p>
      <w:pPr>
        <w:pStyle w:val="Normal"/>
        <w:shd w:val="clear" w:color="auto" w:fill="FFFFFF"/>
        <w:spacing w:lineRule="atLeast" w:line="368" w:before="0" w:after="360"/>
        <w:rPr>
          <w:rFonts w:ascii="Arial" w:hAnsi="Arial" w:cs="Arial"/>
          <w:color w:val="363636"/>
          <w:sz w:val="21"/>
          <w:szCs w:val="21"/>
        </w:rPr>
      </w:pPr>
      <w:r>
        <w:rPr>
          <w:rFonts w:cs="Arial" w:ascii="Arial" w:hAnsi="Arial"/>
          <w:color w:val="363636"/>
          <w:sz w:val="21"/>
          <w:szCs w:val="21"/>
        </w:rPr>
      </w:r>
    </w:p>
    <w:p>
      <w:pPr>
        <w:pStyle w:val="Normal"/>
        <w:shd w:val="clear" w:color="auto" w:fill="FFFFFF"/>
        <w:spacing w:lineRule="atLeast" w:line="368" w:before="0" w:after="360"/>
        <w:rPr>
          <w:rFonts w:ascii="Arial" w:hAnsi="Arial" w:cs="Arial"/>
          <w:color w:val="363636"/>
          <w:sz w:val="21"/>
          <w:szCs w:val="21"/>
        </w:rPr>
      </w:pPr>
      <w:r>
        <w:rPr>
          <w:rFonts w:cs="Arial" w:ascii="Arial" w:hAnsi="Arial"/>
          <w:b/>
          <w:bCs/>
          <w:color w:val="363636"/>
          <w:sz w:val="21"/>
          <w:szCs w:val="21"/>
        </w:rPr>
        <w:t>Observational study Table 1 example</w:t>
      </w:r>
    </w:p>
    <w:tbl>
      <w:tblPr>
        <w:tblW w:w="9066" w:type="dxa"/>
        <w:jc w:val="left"/>
        <w:tblInd w:w="-27" w:type="dxa"/>
        <w:tblCellMar>
          <w:top w:w="0" w:type="dxa"/>
          <w:left w:w="108" w:type="dxa"/>
          <w:bottom w:w="0" w:type="dxa"/>
          <w:right w:w="108" w:type="dxa"/>
        </w:tblCellMar>
        <w:tblLook w:val="04a0" w:noVBand="1" w:noHBand="0" w:lastColumn="0" w:firstColumn="1" w:lastRow="0" w:firstRow="1"/>
      </w:tblPr>
      <w:tblGrid>
        <w:gridCol w:w="1693"/>
        <w:gridCol w:w="1701"/>
        <w:gridCol w:w="1700"/>
        <w:gridCol w:w="2268"/>
        <w:gridCol w:w="1704"/>
      </w:tblGrid>
      <w:tr>
        <w:trPr>
          <w:trHeight w:val="915" w:hRule="atLeast"/>
        </w:trPr>
        <w:tc>
          <w:tcPr>
            <w:tcW w:w="1693" w:type="dxa"/>
            <w:tcBorders>
              <w:top w:val="single" w:sz="8" w:space="0" w:color="000000"/>
              <w:left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Sample</w:t>
            </w:r>
          </w:p>
        </w:tc>
        <w:tc>
          <w:tcPr>
            <w:tcW w:w="1701"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Geographical location</w:t>
            </w:r>
          </w:p>
        </w:tc>
        <w:tc>
          <w:tcPr>
            <w:tcW w:w="1700"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Geoposition</w:t>
            </w:r>
          </w:p>
        </w:tc>
        <w:tc>
          <w:tcPr>
            <w:tcW w:w="2268"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 xml:space="preserve">Protocol </w:t>
            </w:r>
          </w:p>
        </w:tc>
        <w:tc>
          <w:tcPr>
            <w:tcW w:w="1704" w:type="dxa"/>
            <w:tcBorders>
              <w:top w:val="single" w:sz="8" w:space="0" w:color="000000"/>
              <w:right w:val="single" w:sz="8" w:space="0" w:color="000000"/>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Data</w:t>
            </w:r>
          </w:p>
        </w:tc>
      </w:tr>
      <w:tr>
        <w:trPr>
          <w:trHeight w:val="870" w:hRule="atLeast"/>
        </w:trPr>
        <w:tc>
          <w:tcPr>
            <w:tcW w:w="1693" w:type="dxa"/>
            <w:tcBorders>
              <w:top w:val="single" w:sz="8" w:space="0" w:color="E7E7E7"/>
              <w:left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Body of water 1</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location name</w:t>
            </w:r>
          </w:p>
        </w:tc>
        <w:tc>
          <w:tcPr>
            <w:tcW w:w="1700"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latitude, longitude, altitude</w:t>
            </w:r>
          </w:p>
        </w:tc>
        <w:tc>
          <w:tcPr>
            <w:tcW w:w="2268"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Measurement of surface temperature</w:t>
            </w:r>
          </w:p>
        </w:tc>
        <w:tc>
          <w:tcPr>
            <w:tcW w:w="1704" w:type="dxa"/>
            <w:tcBorders>
              <w:top w:val="single" w:sz="8" w:space="0" w:color="E7E7E7"/>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dataFile1</w:t>
            </w:r>
          </w:p>
        </w:tc>
      </w:tr>
      <w:tr>
        <w:trPr>
          <w:trHeight w:val="870" w:hRule="atLeast"/>
        </w:trPr>
        <w:tc>
          <w:tcPr>
            <w:tcW w:w="1693" w:type="dxa"/>
            <w:tcBorders>
              <w:top w:val="single" w:sz="8" w:space="0" w:color="E7E7E7"/>
              <w:left w:val="single" w:sz="8" w:space="0" w:color="000000"/>
              <w:bottom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Body of water 2</w:t>
            </w:r>
          </w:p>
        </w:tc>
        <w:tc>
          <w:tcPr>
            <w:tcW w:w="1701" w:type="dxa"/>
            <w:tcBorders>
              <w:top w:val="single" w:sz="8" w:space="0" w:color="E7E7E7"/>
              <w:bottom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location name</w:t>
            </w:r>
          </w:p>
        </w:tc>
        <w:tc>
          <w:tcPr>
            <w:tcW w:w="1700" w:type="dxa"/>
            <w:tcBorders>
              <w:top w:val="single" w:sz="8" w:space="0" w:color="E7E7E7"/>
              <w:bottom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latitude, longitude, altitude</w:t>
            </w:r>
          </w:p>
        </w:tc>
        <w:tc>
          <w:tcPr>
            <w:tcW w:w="2268" w:type="dxa"/>
            <w:tcBorders>
              <w:top w:val="single" w:sz="8" w:space="0" w:color="E7E7E7"/>
              <w:bottom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Measurement of surface temperature</w:t>
            </w:r>
          </w:p>
        </w:tc>
        <w:tc>
          <w:tcPr>
            <w:tcW w:w="1704" w:type="dxa"/>
            <w:tcBorders>
              <w:top w:val="single" w:sz="8" w:space="0" w:color="E7E7E7"/>
              <w:bottom w:val="single" w:sz="8" w:space="0" w:color="E7E7E7"/>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dataFile2</w:t>
            </w:r>
          </w:p>
        </w:tc>
      </w:tr>
      <w:tr>
        <w:trPr>
          <w:trHeight w:val="870" w:hRule="atLeast"/>
        </w:trPr>
        <w:tc>
          <w:tcPr>
            <w:tcW w:w="1693" w:type="dxa"/>
            <w:tcBorders>
              <w:top w:val="single" w:sz="8" w:space="0" w:color="E7E7E7"/>
              <w:left w:val="single" w:sz="8" w:space="0" w:color="000000"/>
              <w:bottom w:val="single" w:sz="4"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Body of water n</w:t>
            </w:r>
          </w:p>
        </w:tc>
        <w:tc>
          <w:tcPr>
            <w:tcW w:w="1701" w:type="dxa"/>
            <w:tcBorders>
              <w:top w:val="single" w:sz="8" w:space="0" w:color="E7E7E7"/>
              <w:bottom w:val="single" w:sz="4"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location name</w:t>
            </w:r>
          </w:p>
        </w:tc>
        <w:tc>
          <w:tcPr>
            <w:tcW w:w="1700" w:type="dxa"/>
            <w:tcBorders>
              <w:top w:val="single" w:sz="8" w:space="0" w:color="E7E7E7"/>
              <w:bottom w:val="single" w:sz="4"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latitude, longitude, altitude</w:t>
            </w:r>
          </w:p>
        </w:tc>
        <w:tc>
          <w:tcPr>
            <w:tcW w:w="2268" w:type="dxa"/>
            <w:tcBorders>
              <w:top w:val="single" w:sz="8" w:space="0" w:color="E7E7E7"/>
              <w:bottom w:val="single" w:sz="4"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Measurement of surface temperature</w:t>
            </w:r>
          </w:p>
        </w:tc>
        <w:tc>
          <w:tcPr>
            <w:tcW w:w="1704" w:type="dxa"/>
            <w:tcBorders>
              <w:top w:val="single" w:sz="8" w:space="0" w:color="E7E7E7"/>
              <w:bottom w:val="single" w:sz="4" w:space="0" w:color="000000"/>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dataFile3</w:t>
            </w:r>
          </w:p>
        </w:tc>
      </w:tr>
    </w:tbl>
    <w:p>
      <w:pPr>
        <w:pStyle w:val="Normal"/>
        <w:shd w:val="clear" w:color="auto" w:fill="FFFFFF"/>
        <w:spacing w:lineRule="atLeast" w:line="368" w:before="0" w:after="360"/>
        <w:rPr>
          <w:rFonts w:ascii="Arial" w:hAnsi="Arial" w:cs="Arial"/>
          <w:color w:val="363636"/>
          <w:sz w:val="21"/>
          <w:szCs w:val="21"/>
        </w:rPr>
      </w:pPr>
      <w:r>
        <w:rPr>
          <w:rFonts w:cs="Arial" w:ascii="Arial" w:hAnsi="Arial"/>
          <w:color w:val="363636"/>
          <w:sz w:val="21"/>
          <w:szCs w:val="21"/>
        </w:rPr>
      </w:r>
    </w:p>
    <w:p>
      <w:pPr>
        <w:pStyle w:val="Normal"/>
        <w:shd w:val="clear" w:color="auto" w:fill="FFFFFF"/>
        <w:spacing w:lineRule="atLeast" w:line="368" w:before="0" w:after="360"/>
        <w:rPr>
          <w:rFonts w:ascii="Arial" w:hAnsi="Arial" w:cs="Arial"/>
          <w:color w:val="363636"/>
          <w:sz w:val="21"/>
          <w:szCs w:val="21"/>
        </w:rPr>
      </w:pPr>
      <w:r>
        <w:rPr>
          <w:rFonts w:cs="Arial" w:ascii="Arial" w:hAnsi="Arial"/>
          <w:b/>
          <w:bCs/>
          <w:color w:val="363636"/>
          <w:sz w:val="21"/>
          <w:szCs w:val="21"/>
        </w:rPr>
        <w:t>Data aggregation study Table 1 example</w:t>
      </w:r>
    </w:p>
    <w:tbl>
      <w:tblPr>
        <w:tblW w:w="9066" w:type="dxa"/>
        <w:jc w:val="left"/>
        <w:tblInd w:w="-27" w:type="dxa"/>
        <w:tblCellMar>
          <w:top w:w="0" w:type="dxa"/>
          <w:left w:w="108" w:type="dxa"/>
          <w:bottom w:w="0" w:type="dxa"/>
          <w:right w:w="108" w:type="dxa"/>
        </w:tblCellMar>
        <w:tblLook w:val="04a0" w:noVBand="1" w:noHBand="0" w:lastColumn="0" w:firstColumn="1" w:lastRow="0" w:firstRow="1"/>
      </w:tblPr>
      <w:tblGrid>
        <w:gridCol w:w="1126"/>
        <w:gridCol w:w="992"/>
        <w:gridCol w:w="1701"/>
        <w:gridCol w:w="1701"/>
        <w:gridCol w:w="1416"/>
        <w:gridCol w:w="1418"/>
        <w:gridCol w:w="711"/>
      </w:tblGrid>
      <w:tr>
        <w:trPr>
          <w:trHeight w:val="915" w:hRule="atLeast"/>
        </w:trPr>
        <w:tc>
          <w:tcPr>
            <w:tcW w:w="1126" w:type="dxa"/>
            <w:tcBorders>
              <w:top w:val="single" w:sz="8" w:space="0" w:color="000000"/>
              <w:left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Source</w:t>
            </w:r>
          </w:p>
        </w:tc>
        <w:tc>
          <w:tcPr>
            <w:tcW w:w="992"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Sample</w:t>
            </w:r>
          </w:p>
        </w:tc>
        <w:tc>
          <w:tcPr>
            <w:tcW w:w="1701"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Sample number</w:t>
            </w:r>
          </w:p>
        </w:tc>
        <w:tc>
          <w:tcPr>
            <w:tcW w:w="1701"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Temporal range</w:t>
            </w:r>
          </w:p>
        </w:tc>
        <w:tc>
          <w:tcPr>
            <w:tcW w:w="1416"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Protocol 1</w:t>
            </w:r>
          </w:p>
        </w:tc>
        <w:tc>
          <w:tcPr>
            <w:tcW w:w="1418"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Protocol 2</w:t>
            </w:r>
          </w:p>
        </w:tc>
        <w:tc>
          <w:tcPr>
            <w:tcW w:w="711" w:type="dxa"/>
            <w:tcBorders>
              <w:top w:val="single" w:sz="8" w:space="0" w:color="000000"/>
              <w:right w:val="single" w:sz="8" w:space="0" w:color="000000"/>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Data</w:t>
            </w:r>
          </w:p>
        </w:tc>
      </w:tr>
      <w:tr>
        <w:trPr>
          <w:trHeight w:val="1440" w:hRule="atLeast"/>
        </w:trPr>
        <w:tc>
          <w:tcPr>
            <w:tcW w:w="1126" w:type="dxa"/>
            <w:tcBorders>
              <w:top w:val="single" w:sz="8" w:space="0" w:color="E7E7E7"/>
              <w:left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Database URL 1</w:t>
            </w:r>
          </w:p>
        </w:tc>
        <w:tc>
          <w:tcPr>
            <w:tcW w:w="992"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Dataset 1</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Number of samples in the dataset</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Range of measurements reported in the dataset</w:t>
            </w:r>
          </w:p>
        </w:tc>
        <w:tc>
          <w:tcPr>
            <w:tcW w:w="1416"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 assimilation procedure</w:t>
            </w:r>
          </w:p>
        </w:tc>
        <w:tc>
          <w:tcPr>
            <w:tcW w:w="1418"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Method to generate output data</w:t>
            </w:r>
          </w:p>
        </w:tc>
        <w:tc>
          <w:tcPr>
            <w:tcW w:w="711" w:type="dxa"/>
            <w:tcBorders>
              <w:top w:val="single" w:sz="8" w:space="0" w:color="E7E7E7"/>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dataFile1</w:t>
            </w:r>
          </w:p>
        </w:tc>
      </w:tr>
      <w:tr>
        <w:trPr>
          <w:trHeight w:val="1440" w:hRule="atLeast"/>
        </w:trPr>
        <w:tc>
          <w:tcPr>
            <w:tcW w:w="1126" w:type="dxa"/>
            <w:tcBorders>
              <w:top w:val="single" w:sz="8" w:space="0" w:color="E7E7E7"/>
              <w:left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Database URL 1</w:t>
            </w:r>
          </w:p>
        </w:tc>
        <w:tc>
          <w:tcPr>
            <w:tcW w:w="992"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Dataset 2</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Number of samples in the dataset</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Range of measurements reported in the dataset</w:t>
            </w:r>
          </w:p>
        </w:tc>
        <w:tc>
          <w:tcPr>
            <w:tcW w:w="1416"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 assimilation procedure</w:t>
            </w:r>
          </w:p>
        </w:tc>
        <w:tc>
          <w:tcPr>
            <w:tcW w:w="1418"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Method to generate output data</w:t>
            </w:r>
          </w:p>
        </w:tc>
        <w:tc>
          <w:tcPr>
            <w:tcW w:w="711" w:type="dxa"/>
            <w:tcBorders>
              <w:top w:val="single" w:sz="8" w:space="0" w:color="E7E7E7"/>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dataFile1</w:t>
            </w:r>
          </w:p>
        </w:tc>
      </w:tr>
      <w:tr>
        <w:trPr>
          <w:trHeight w:val="1440" w:hRule="atLeast"/>
        </w:trPr>
        <w:tc>
          <w:tcPr>
            <w:tcW w:w="1126" w:type="dxa"/>
            <w:tcBorders>
              <w:top w:val="single" w:sz="8" w:space="0" w:color="E7E7E7"/>
              <w:left w:val="single" w:sz="8" w:space="0" w:color="000000"/>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Database URL 2</w:t>
            </w:r>
          </w:p>
        </w:tc>
        <w:tc>
          <w:tcPr>
            <w:tcW w:w="992"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Dataset n</w:t>
            </w:r>
          </w:p>
        </w:tc>
        <w:tc>
          <w:tcPr>
            <w:tcW w:w="1701"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Number of samples in the dataset</w:t>
            </w:r>
          </w:p>
        </w:tc>
        <w:tc>
          <w:tcPr>
            <w:tcW w:w="1701"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Range of measurements reported in the dataset</w:t>
            </w:r>
          </w:p>
        </w:tc>
        <w:tc>
          <w:tcPr>
            <w:tcW w:w="1416"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 assimilation procedure</w:t>
            </w:r>
          </w:p>
        </w:tc>
        <w:tc>
          <w:tcPr>
            <w:tcW w:w="1418"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Method to generate output data</w:t>
            </w:r>
          </w:p>
        </w:tc>
        <w:tc>
          <w:tcPr>
            <w:tcW w:w="711" w:type="dxa"/>
            <w:tcBorders>
              <w:top w:val="single" w:sz="8" w:space="0" w:color="E7E7E7"/>
              <w:bottom w:val="single" w:sz="8" w:space="0" w:color="000000"/>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dataFile2</w:t>
            </w:r>
          </w:p>
        </w:tc>
      </w:tr>
    </w:tbl>
    <w:p>
      <w:pPr>
        <w:pStyle w:val="Normal"/>
        <w:shd w:val="clear" w:color="auto" w:fill="FFFFFF"/>
        <w:spacing w:lineRule="atLeast" w:line="368" w:before="0" w:after="360"/>
        <w:rPr>
          <w:rFonts w:ascii="Arial" w:hAnsi="Arial" w:cs="Arial"/>
          <w:color w:val="363636"/>
          <w:sz w:val="21"/>
          <w:szCs w:val="21"/>
        </w:rPr>
      </w:pPr>
      <w:r>
        <w:rPr>
          <w:rFonts w:cs="Arial" w:ascii="Arial" w:hAnsi="Arial"/>
          <w:color w:val="363636"/>
          <w:sz w:val="21"/>
          <w:szCs w:val="21"/>
        </w:rPr>
      </w:r>
    </w:p>
    <w:p>
      <w:pPr>
        <w:pStyle w:val="Normal"/>
        <w:widowControl w:val="false"/>
        <w:rPr>
          <w:rFonts w:cs="Calibri"/>
          <w:b/>
          <w:b/>
          <w:lang w:val="en-US" w:eastAsia="en-US"/>
        </w:rPr>
      </w:pPr>
      <w:r>
        <w:rPr>
          <w:rFonts w:cs="Calibri"/>
          <w:b/>
          <w:lang w:val="en-US" w:eastAsia="en-US"/>
        </w:rPr>
        <w:t xml:space="preserve">Machine accessible metadata records </w:t>
      </w:r>
    </w:p>
    <w:p>
      <w:pPr>
        <w:pStyle w:val="Normal"/>
        <w:rPr>
          <w:lang w:val="en-US" w:eastAsia="en-US"/>
        </w:rPr>
      </w:pPr>
      <w:r>
        <w:rPr>
          <w:lang w:val="en-US" w:eastAsia="en-US"/>
        </w:rPr>
        <w:t xml:space="preserve">All Data Descriptor manuscripts published in </w:t>
      </w:r>
      <w:r>
        <w:rPr>
          <w:i/>
          <w:lang w:val="en-US" w:eastAsia="en-US"/>
        </w:rPr>
        <w:t>Scientific Data</w:t>
      </w:r>
      <w:r>
        <w:rPr>
          <w:lang w:val="en-US" w:eastAsia="en-US"/>
        </w:rPr>
        <w:t xml:space="preserve"> are accompanied by detailed machine-accessible metadata files in ISA-Tab format depicting the workflow used to generate the accompanying datasets. In order to facilitate the creation of these records, authors may be asked to complete metadata templates for their data by the editorial office, if the Data Descriptor is of interest to the Editorial Board.</w:t>
      </w:r>
    </w:p>
    <w:p>
      <w:pPr>
        <w:pStyle w:val="Normal"/>
        <w:shd w:val="clear" w:color="auto" w:fill="FFFFFF"/>
        <w:spacing w:lineRule="atLeast" w:line="368" w:before="0" w:after="360"/>
        <w:rPr>
          <w:rFonts w:ascii="Arial" w:hAnsi="Arial" w:cs="Arial"/>
          <w:color w:val="363636"/>
          <w:sz w:val="21"/>
          <w:szCs w:val="21"/>
        </w:rPr>
      </w:pPr>
      <w:r>
        <w:rPr>
          <w:rFonts w:cs="Arial" w:ascii="Arial" w:hAnsi="Arial"/>
          <w:color w:val="363636"/>
          <w:sz w:val="21"/>
          <w:szCs w:val="21"/>
        </w:rPr>
      </w:r>
    </w:p>
    <w:p>
      <w:pPr>
        <w:pStyle w:val="Normal"/>
        <w:widowControl w:val="false"/>
        <w:rPr>
          <w:rFonts w:cs="Calibri"/>
          <w:lang w:val="en-US" w:eastAsia="en-US"/>
        </w:rPr>
      </w:pPr>
      <w:r>
        <w:rPr>
          <w:rFonts w:cs="Calibri"/>
          <w:lang w:val="en-US" w:eastAsia="en-US"/>
        </w:rPr>
      </w:r>
    </w:p>
    <w:p>
      <w:pPr>
        <w:pStyle w:val="Normal"/>
        <w:widowControl w:val="false"/>
        <w:rPr>
          <w:rFonts w:cs="Calibri"/>
          <w:b/>
          <w:b/>
          <w:lang w:val="en-US" w:eastAsia="en-US"/>
        </w:rPr>
      </w:pPr>
      <w:r>
        <w:rPr>
          <w:rFonts w:cs="Calibri"/>
          <w:b/>
          <w:lang w:val="en-US" w:eastAsia="en-US"/>
        </w:rPr>
        <w:t xml:space="preserve">Depositing your data to an appropriate repository </w:t>
      </w:r>
    </w:p>
    <w:p>
      <w:pPr>
        <w:pStyle w:val="Normal"/>
        <w:widowControl w:val="false"/>
        <w:spacing w:before="60" w:after="0"/>
        <w:rPr/>
      </w:pPr>
      <w:r>
        <w:rPr>
          <w:rFonts w:cs="Calibri"/>
          <w:lang w:val="en-US" w:eastAsia="en-US"/>
        </w:rPr>
        <w:t xml:space="preserve">Your </w:t>
      </w:r>
      <w:r>
        <w:rPr>
          <w:rFonts w:cs="Calibri"/>
          <w:i/>
          <w:lang w:val="en-US" w:eastAsia="en-US"/>
        </w:rPr>
        <w:t>Scientific Data</w:t>
      </w:r>
      <w:r>
        <w:rPr>
          <w:rFonts w:cs="Calibri"/>
          <w:lang w:val="en-US" w:eastAsia="en-US"/>
        </w:rPr>
        <w:t xml:space="preserve"> manuscript will not be sent to review unless the dataset(s) described therein have been deposited in an appropriate public repository (</w:t>
      </w:r>
      <w:hyperlink r:id="rId11">
        <w:r>
          <w:rPr>
            <w:rStyle w:val="InternetLink"/>
            <w:rFonts w:cs="Calibri"/>
            <w:lang w:val="en-US" w:eastAsia="en-US"/>
          </w:rPr>
          <w:t>please see our list of recommended repositories</w:t>
        </w:r>
      </w:hyperlink>
      <w:r>
        <w:rPr>
          <w:rFonts w:cs="Calibri"/>
          <w:lang w:val="en-US" w:eastAsia="en-US"/>
        </w:rPr>
        <w:t xml:space="preserve">). Should a specific repository not be available for your field or data-type, or should the repository of your choice not permit confidential peer-review, you may upload your data to one of our </w:t>
      </w:r>
      <w:r>
        <w:fldChar w:fldCharType="begin"/>
      </w:r>
      <w:r>
        <w:rPr>
          <w:rStyle w:val="InternetLink"/>
          <w:rFonts w:cs="Calibri"/>
        </w:rPr>
        <w:instrText> HYPERLINK "https://www.nature.com/sdata/policies/repositories" \l "general"</w:instrText>
      </w:r>
      <w:r>
        <w:rPr>
          <w:rStyle w:val="InternetLink"/>
          <w:rFonts w:cs="Calibri"/>
        </w:rPr>
        <w:fldChar w:fldCharType="separate"/>
      </w:r>
      <w:r>
        <w:rPr>
          <w:rStyle w:val="InternetLink"/>
          <w:rFonts w:cs="Calibri"/>
          <w:lang w:val="en-US" w:eastAsia="en-US"/>
        </w:rPr>
        <w:t>recommended generalist repositories</w:t>
      </w:r>
      <w:r>
        <w:rPr>
          <w:rStyle w:val="InternetLink"/>
          <w:rFonts w:cs="Calibri"/>
        </w:rPr>
        <w:fldChar w:fldCharType="end"/>
      </w:r>
      <w:r>
        <w:rPr>
          <w:rFonts w:cs="Calibri"/>
          <w:lang w:val="en-US" w:eastAsia="en-US"/>
        </w:rPr>
        <w:t xml:space="preserve">. Integrated submission systems are available for both figshare and Dryad.  </w:t>
      </w:r>
    </w:p>
    <w:sectPr>
      <w:footerReference w:type="default" r:id="rId12"/>
      <w:type w:val="nextPage"/>
      <w:pgSz w:w="11906" w:h="16838"/>
      <w:pgMar w:left="1786" w:right="1786" w:header="0" w:top="1361" w:footer="709" w:bottom="1361"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ri Peura" w:date="2019-10-29T16:17:00Z" w:initials="SP">
    <w:p>
      <w:r>
        <w:rPr>
          <w:rFonts w:ascii="Liberation Serif" w:hAnsi="Liberation Serif" w:eastAsia="DejaVu Sans" w:cs="DejaVu Sans"/>
          <w:sz w:val="24"/>
          <w:szCs w:val="24"/>
          <w:lang w:val="en-US" w:eastAsia="en-US" w:bidi="en-US"/>
        </w:rPr>
        <w:t xml:space="preserve">This is excluding Austrian and PR samples. Please come up with a better title </w:t>
      </w:r>
      <w:r>
        <w:rPr>
          <w:rFonts w:ascii="Wingdings" w:hAnsi="Wingdings" w:eastAsia="Wingdings" w:cs="Wingdings"/>
          <w:sz w:val="24"/>
          <w:szCs w:val="24"/>
          <w:lang w:val="en-US" w:eastAsia="en-US" w:bidi="en-US"/>
        </w:rPr>
        <w:t></w:t>
      </w:r>
      <w:r>
        <w:rPr>
          <w:rFonts w:ascii="Liberation Serif" w:hAnsi="Liberation Serif" w:eastAsia="DejaVu Sans" w:cs="DejaVu Sans"/>
          <w:sz w:val="24"/>
          <w:szCs w:val="24"/>
          <w:lang w:val="en-US" w:eastAsia="en-US" w:bidi="en-US"/>
        </w:rPr>
        <w:t>!</w:t>
      </w:r>
    </w:p>
  </w:comment>
  <w:comment w:id="1" w:author="Sari Peura" w:date="2019-10-29T11:46:00Z" w:initials="SP">
    <w:p>
      <w:r>
        <w:rPr>
          <w:rFonts w:ascii="Liberation Serif" w:hAnsi="Liberation Serif" w:eastAsia="DejaVu Sans" w:cs="DejaVu Sans"/>
          <w:sz w:val="24"/>
          <w:szCs w:val="24"/>
          <w:lang w:val="en-US" w:eastAsia="en-US" w:bidi="en-US"/>
        </w:rPr>
        <w:t>Christian? Maxime? Henrique? Sanni? Karolina? Raven? Till? Others?</w:t>
      </w:r>
    </w:p>
  </w:comment>
  <w:comment w:id="2" w:author="Sari Peura" w:date="2019-10-29T12:06:00Z" w:initials="SP">
    <w:p>
      <w:r>
        <w:rPr>
          <w:rFonts w:ascii="Liberation Serif" w:hAnsi="Liberation Serif" w:eastAsia="DejaVu Sans" w:cs="DejaVu Sans"/>
          <w:sz w:val="24"/>
          <w:szCs w:val="24"/>
          <w:lang w:val="en-US" w:eastAsia="en-US" w:bidi="en-US"/>
        </w:rPr>
        <w:t xml:space="preserve">The Abstract should succinctly describe the study, the assay(s) performed, the resulting data, and their reuse potential, but should not make any claims regarding new scientific findings. No references are allowed in this section. </w:t>
      </w:r>
    </w:p>
  </w:comment>
  <w:comment w:id="3" w:author="Sari Peura" w:date="2019-10-29T12:16:00Z" w:initials="SP">
    <w:p>
      <w:r>
        <w:rPr>
          <w:rFonts w:ascii="Liberation Serif" w:hAnsi="Liberation Serif" w:eastAsia="DejaVu Sans" w:cs="DejaVu Sans"/>
          <w:sz w:val="24"/>
          <w:szCs w:val="24"/>
          <w:lang w:val="en-US" w:eastAsia="en-US" w:bidi="en-US"/>
        </w:rPr>
        <w:t>Superfast abstract, please modify as you see fit.</w:t>
      </w:r>
    </w:p>
  </w:comment>
  <w:comment w:id="4" w:author="Sari Peura" w:date="2019-10-29T12:16:00Z" w:initials="SP">
    <w:p>
      <w:r>
        <w:rPr>
          <w:rFonts w:ascii="Liberation Serif" w:hAnsi="Liberation Serif" w:eastAsia="DejaVu Sans" w:cs="DejaVu Sans"/>
          <w:sz w:val="24"/>
          <w:szCs w:val="24"/>
          <w:lang w:val="en-US" w:eastAsia="en-US" w:bidi="en-US"/>
        </w:rP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their potential reuse value. We also encourage authors to include a figure that provides a schematic overview of the study and assay(s) design. </w:t>
      </w:r>
    </w:p>
    <w:p>
      <w:r>
        <w:rPr>
          <w:rFonts w:ascii="Liberation Serif" w:hAnsi="Liberation Serif" w:eastAsia="DejaVu Sans" w:cs="DejaVu Sans"/>
          <w:sz w:val="24"/>
          <w:szCs w:val="24"/>
          <w:lang w:val="en-US" w:eastAsia="en-US" w:bidi="en-US"/>
        </w:rPr>
      </w:r>
    </w:p>
  </w:comment>
  <w:comment w:id="5" w:author="Sari Peura" w:date="2019-10-29T12:32:00Z" w:initials="SP">
    <w:p>
      <w:r>
        <w:rPr>
          <w:rFonts w:ascii="Liberation Serif" w:hAnsi="Liberation Serif" w:eastAsia="DejaVu Sans" w:cs="DejaVu Sans"/>
          <w:sz w:val="24"/>
          <w:szCs w:val="24"/>
          <w:lang w:val="en-US" w:eastAsia="en-US" w:bidi="en-US"/>
        </w:rPr>
        <w:t>Map of all sample locations.</w:t>
      </w:r>
    </w:p>
  </w:comment>
  <w:comment w:id="6" w:author="Sari Peura" w:date="2019-10-30T08:23:00Z" w:initials="SP">
    <w:p>
      <w:r>
        <w:rPr>
          <w:rFonts w:ascii="Liberation Serif" w:hAnsi="Liberation Serif" w:eastAsia="DejaVu Sans" w:cs="DejaVu Sans"/>
          <w:sz w:val="24"/>
          <w:szCs w:val="24"/>
          <w:lang w:val="en-US" w:eastAsia="en-US" w:bidi="en-US"/>
        </w:rPr>
        <w:t>Basic info of the lakes, coordinates, max depth, epilimnion depth, surface area, country/climatic zone, sampling year</w:t>
      </w:r>
    </w:p>
  </w:comment>
  <w:comment w:id="7" w:author="Sari Peura" w:date="2019-10-29T12:41:00Z" w:initials="SP">
    <w:p>
      <w:r>
        <w:rPr>
          <w:rFonts w:ascii="Liberation Serif" w:hAnsi="Liberation Serif" w:eastAsia="DejaVu Sans" w:cs="DejaVu Sans"/>
          <w:sz w:val="24"/>
          <w:szCs w:val="24"/>
          <w:lang w:val="en-US" w:eastAsia="en-US" w:bidi="en-US"/>
        </w:rPr>
        <w:t>Table of all samples and their metadata.</w:t>
      </w:r>
    </w:p>
  </w:comment>
  <w:comment w:id="8" w:author="Sari Peura" w:date="2019-10-29T12:52:00Z" w:initials="SP">
    <w:p>
      <w:r>
        <w:rPr>
          <w:rFonts w:ascii="Liberation Serif" w:hAnsi="Liberation Serif" w:eastAsia="DejaVu Sans" w:cs="DejaVu Sans"/>
          <w:sz w:val="24"/>
          <w:szCs w:val="24"/>
          <w:lang w:val="en-US" w:eastAsia="en-US" w:bidi="en-US"/>
        </w:rPr>
        <w:t>I don´t know if the data processing should or should not be briefly described here.</w:t>
      </w:r>
    </w:p>
  </w:comment>
  <w:comment w:id="9" w:author="Sari Peura" w:date="2019-10-29T12:59:00Z" w:initials="SP">
    <w:p>
      <w:r>
        <w:rPr>
          <w:rFonts w:ascii="Liberation Serif" w:hAnsi="Liberation Serif" w:eastAsia="DejaVu Sans" w:cs="DejaVu Sans"/>
          <w:sz w:val="24"/>
          <w:szCs w:val="24"/>
          <w:lang w:val="en-US" w:eastAsia="en-US" w:bidi="en-US"/>
        </w:rPr>
        <w:t>The Methods should include detailed text describing any steps or procedures used in producing the data, including full descriptions of the experimental design, data acquisition assays, and any computational processing (e.g. normalization, image feature extraction). See the detailed section in our submission guidelines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r>
        <w:rPr>
          <w:rFonts w:ascii="Liberation Serif" w:hAnsi="Liberation Serif" w:eastAsia="DejaVu Sans" w:cs="DejaVu Sans"/>
          <w:sz w:val="24"/>
          <w:szCs w:val="24"/>
          <w:lang w:val="en-US" w:eastAsia="en-US" w:bidi="en-US"/>
        </w:rP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10" w:author="Sari Peura" w:date="2019-10-29T13:21:00Z" w:initials="SP">
    <w:p>
      <w:r>
        <w:rPr>
          <w:rFonts w:ascii="Liberation Serif" w:hAnsi="Liberation Serif" w:eastAsia="DejaVu Sans" w:cs="DejaVu Sans"/>
          <w:sz w:val="24"/>
          <w:szCs w:val="24"/>
          <w:lang w:val="en-US" w:eastAsia="en-US" w:bidi="en-US"/>
        </w:rPr>
        <w:t>Maybe we could add a schematic figure of the most typical workflow as Fig 2?</w:t>
      </w:r>
    </w:p>
  </w:comment>
  <w:comment w:id="11" w:author="Sari Peura" w:date="2019-10-29T13:10:00Z" w:initials="SP">
    <w:p>
      <w:r>
        <w:rPr>
          <w:rFonts w:ascii="Liberation Serif" w:hAnsi="Liberation Serif" w:eastAsia="DejaVu Sans" w:cs="DejaVu Sans"/>
          <w:sz w:val="24"/>
          <w:szCs w:val="24"/>
          <w:lang w:val="en-US" w:eastAsia="en-US" w:bidi="en-US"/>
        </w:rPr>
        <w:t>Gustavo, please add the sampler that was used.</w:t>
      </w:r>
    </w:p>
  </w:comment>
  <w:comment w:id="12" w:author="Sari Peura" w:date="2019-10-29T13:11:00Z" w:initials="SP">
    <w:p>
      <w:r>
        <w:rPr>
          <w:rFonts w:ascii="Liberation Serif" w:hAnsi="Liberation Serif" w:eastAsia="DejaVu Sans" w:cs="DejaVu Sans"/>
          <w:sz w:val="24"/>
          <w:szCs w:val="24"/>
          <w:lang w:val="en-US" w:eastAsia="en-US" w:bidi="en-US"/>
        </w:rPr>
        <w:t>Stefan, do you know this?</w:t>
      </w:r>
    </w:p>
  </w:comment>
  <w:comment w:id="13" w:author="Sari Peura" w:date="2019-10-29T15:53:00Z" w:initials="SP">
    <w:p>
      <w:r>
        <w:rPr>
          <w:rFonts w:ascii="Liberation Serif" w:hAnsi="Liberation Serif" w:eastAsia="DejaVu Sans" w:cs="DejaVu Sans"/>
          <w:sz w:val="24"/>
          <w:szCs w:val="24"/>
          <w:lang w:val="en-US" w:eastAsia="en-US" w:bidi="en-US"/>
        </w:rPr>
        <w:t>Stefan?</w:t>
      </w:r>
    </w:p>
  </w:comment>
  <w:comment w:id="14" w:author="Sari Peura" w:date="2019-10-29T16:07:00Z" w:initials="SP">
    <w:p>
      <w:r>
        <w:rPr>
          <w:rFonts w:ascii="Liberation Serif" w:hAnsi="Liberation Serif" w:eastAsia="DejaVu Sans" w:cs="DejaVu Sans"/>
          <w:sz w:val="24"/>
          <w:szCs w:val="24"/>
          <w:lang w:val="en-US" w:eastAsia="en-US" w:bidi="en-US"/>
        </w:rPr>
        <w:t>How should we put how these all were measured? A table?</w:t>
      </w:r>
    </w:p>
  </w:comment>
  <w:comment w:id="15" w:author="Sari Peura" w:date="2019-10-29T13:13:00Z" w:initials="SP">
    <w:p>
      <w:r>
        <w:rPr>
          <w:rFonts w:ascii="Liberation Serif" w:hAnsi="Liberation Serif" w:eastAsia="DejaVu Sans" w:cs="DejaVu Sans"/>
          <w:sz w:val="24"/>
          <w:szCs w:val="24"/>
          <w:lang w:val="en-US" w:eastAsia="en-US" w:bidi="en-US"/>
        </w:rPr>
        <w:t>Stefan?</w:t>
      </w:r>
    </w:p>
  </w:comment>
  <w:comment w:id="16" w:author="Sari Peura" w:date="2019-10-29T13:13:00Z" w:initials="SP">
    <w:p>
      <w:r>
        <w:rPr>
          <w:rFonts w:ascii="Liberation Serif" w:hAnsi="Liberation Serif" w:eastAsia="DejaVu Sans" w:cs="DejaVu Sans"/>
          <w:sz w:val="24"/>
          <w:szCs w:val="24"/>
          <w:lang w:val="en-US" w:eastAsia="en-US" w:bidi="en-US"/>
        </w:rPr>
        <w:t>Jatta?</w:t>
      </w:r>
    </w:p>
  </w:comment>
  <w:comment w:id="17" w:author="Sari Peura" w:date="2019-10-29T16:01:00Z" w:initials="SP">
    <w:p>
      <w:r>
        <w:rPr>
          <w:rFonts w:ascii="Liberation Serif" w:hAnsi="Liberation Serif" w:eastAsia="DejaVu Sans" w:cs="DejaVu Sans"/>
          <w:sz w:val="24"/>
          <w:szCs w:val="24"/>
          <w:lang w:val="en-US" w:eastAsia="en-US" w:bidi="en-US"/>
        </w:rPr>
        <w:t>Jatta, was this also with PowerSoil or something else?</w:t>
      </w:r>
    </w:p>
  </w:comment>
  <w:comment w:id="18" w:author="Sari Peura" w:date="2019-10-29T16:09:00Z" w:initials="SP">
    <w:p>
      <w:r>
        <w:rPr>
          <w:rFonts w:ascii="Liberation Serif" w:hAnsi="Liberation Serif" w:eastAsia="DejaVu Sans" w:cs="DejaVu Sans"/>
          <w:sz w:val="24"/>
          <w:szCs w:val="24"/>
          <w:lang w:val="en-US" w:eastAsia="en-US" w:bidi="en-US"/>
        </w:rPr>
        <w:t>Should we invite someone from SciLifeLab to the ms and make that person write the sequencing part?</w:t>
      </w:r>
    </w:p>
  </w:comment>
  <w:comment w:id="19" w:author="Sari Peura" w:date="2019-10-29T16:08:00Z" w:initials="SP">
    <w:p>
      <w:r>
        <w:rPr>
          <w:rFonts w:ascii="Liberation Serif" w:hAnsi="Liberation Serif" w:eastAsia="DejaVu Sans" w:cs="DejaVu Sans"/>
          <w:sz w:val="24"/>
          <w:szCs w:val="24"/>
          <w:lang w:val="en-US" w:eastAsia="en-US" w:bidi="en-US"/>
        </w:rP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analytical procedure(s) used to derive the corresponding record.</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Tables should be used to support the data records, and should clearly indicate the samples and subjects (study inputs), their provenance, and the experimental manipulations performed on each (please see Tables and Submitting Experimental Metadata, below). They should also specify the data output resulting from each data-collection or analytical step, should these form part of the archived record.</w:t>
      </w:r>
    </w:p>
  </w:comment>
  <w:comment w:id="20" w:author="Sari Peura" w:date="2019-10-29T16:27:00Z" w:initials="SP">
    <w:p>
      <w:r>
        <w:rPr>
          <w:rFonts w:ascii="Liberation Serif" w:hAnsi="Liberation Serif" w:eastAsia="DejaVu Sans" w:cs="DejaVu Sans"/>
          <w:sz w:val="24"/>
          <w:szCs w:val="24"/>
          <w:lang w:val="en-US" w:eastAsia="en-US" w:bidi="en-US"/>
        </w:rPr>
        <w:t xml:space="preserve">The Technical Validation section should present any experiments or analyses that are needed to support the technical quality of the dataset. This section may be supported by figures and tables, as needed. </w:t>
      </w:r>
      <w:r>
        <w:rPr>
          <w:rFonts w:ascii="Liberation Serif" w:hAnsi="Liberation Serif" w:eastAsia="DejaVu Sans" w:cs="DejaVu Sans"/>
          <w:i/>
          <w:sz w:val="24"/>
          <w:szCs w:val="24"/>
          <w:lang w:val="en-US" w:eastAsia="en-US" w:bidi="en-US"/>
        </w:rPr>
        <w:t>This is a required section</w:t>
      </w:r>
      <w:r>
        <w:rPr>
          <w:rFonts w:ascii="Liberation Serif" w:hAnsi="Liberation Serif" w:eastAsia="DejaVu Sans" w:cs="DejaVu Sans"/>
          <w:sz w:val="24"/>
          <w:szCs w:val="24"/>
          <w:lang w:val="en-US" w:eastAsia="en-US" w:bidi="en-US"/>
        </w:rPr>
        <w:t xml:space="preserve">; authors must provide information to justify the reliability of their data. </w:t>
      </w:r>
    </w:p>
    <w:p>
      <w:r>
        <w:rPr>
          <w:rFonts w:ascii="Liberation Serif" w:hAnsi="Liberation Serif" w:eastAsia="DejaVu Sans" w:cs="DejaVu Sans"/>
          <w:sz w:val="24"/>
          <w:szCs w:val="24"/>
          <w:lang w:val="en-US" w:eastAsia="en-US" w:bidi="en-US"/>
        </w:rPr>
        <w:t xml:space="preserve">Possible content </w:t>
      </w:r>
      <w:r>
        <w:rPr>
          <w:rFonts w:ascii="Liberation Serif" w:hAnsi="Liberation Serif" w:eastAsia="DejaVu Sans" w:cs="DejaVu Sans"/>
          <w:b/>
          <w:sz w:val="24"/>
          <w:szCs w:val="24"/>
          <w:lang w:val="en-US" w:eastAsia="en-US" w:bidi="en-US"/>
        </w:rPr>
        <w:t>may include:</w:t>
      </w:r>
    </w:p>
    <w:p>
      <w:r>
        <w:rPr>
          <w:rFonts w:ascii="Liberation Serif" w:hAnsi="Liberation Serif" w:eastAsia="DejaVu Sans" w:cs="DejaVu Sans"/>
          <w:sz w:val="24"/>
          <w:szCs w:val="24"/>
          <w:lang w:val="en-US" w:eastAsia="en-US" w:bidi="en-US"/>
        </w:rPr>
        <w:t>experiments that support or validate the data-collection procedure(s) (e.g. negative controls, or an analysis of standards to confirm measurement linearity)</w:t>
      </w:r>
    </w:p>
    <w:p>
      <w:r>
        <w:rPr>
          <w:rFonts w:ascii="Liberation Serif" w:hAnsi="Liberation Serif" w:eastAsia="DejaVu Sans" w:cs="DejaVu Sans"/>
          <w:sz w:val="24"/>
          <w:szCs w:val="24"/>
          <w:lang w:val="en-US" w:eastAsia="en-US" w:bidi="en-US"/>
        </w:rPr>
        <w:t>statistical analyses of experimental error and variation</w:t>
      </w:r>
    </w:p>
    <w:p>
      <w:r>
        <w:rPr>
          <w:rFonts w:ascii="Liberation Serif" w:hAnsi="Liberation Serif" w:eastAsia="DejaVu Sans" w:cs="DejaVu Sans"/>
          <w:sz w:val="24"/>
          <w:szCs w:val="24"/>
          <w:lang w:val="en-US" w:eastAsia="en-US" w:bidi="en-US"/>
        </w:rPr>
        <w:t>phenotypic or genotypic assessments of biological samples (e.g. confirming disease status, cell line identity, or the success of perturbations)</w:t>
      </w:r>
    </w:p>
    <w:p>
      <w:r>
        <w:rPr>
          <w:rFonts w:ascii="Liberation Serif" w:hAnsi="Liberation Serif" w:eastAsia="DejaVu Sans" w:cs="DejaVu Sans"/>
          <w:sz w:val="24"/>
          <w:szCs w:val="24"/>
          <w:lang w:val="en-US" w:eastAsia="en-US" w:bidi="en-US"/>
        </w:rPr>
        <w:t xml:space="preserve">general discussions of any procedures used to ensure reliable and unbiased data production, such as blinding and randomization, sample tracking systems, etc. </w:t>
      </w:r>
    </w:p>
    <w:p>
      <w:r>
        <w:rPr>
          <w:rFonts w:ascii="Liberation Serif" w:hAnsi="Liberation Serif" w:eastAsia="DejaVu Sans" w:cs="DejaVu Sans"/>
          <w:sz w:val="24"/>
          <w:szCs w:val="24"/>
          <w:lang w:val="en-US" w:eastAsia="en-US" w:bidi="en-US"/>
        </w:rPr>
        <w:t>any other information needed for assessment of technical rigour by the referees</w:t>
      </w:r>
    </w:p>
    <w:p>
      <w:r>
        <w:rPr>
          <w:rFonts w:ascii="Liberation Serif" w:hAnsi="Liberation Serif" w:eastAsia="DejaVu Sans" w:cs="DejaVu Sans"/>
          <w:sz w:val="24"/>
          <w:szCs w:val="24"/>
          <w:lang w:val="en-US" w:eastAsia="en-US" w:bidi="en-US"/>
        </w:rPr>
        <w:t xml:space="preserve">Generally, this </w:t>
      </w:r>
      <w:r>
        <w:rPr>
          <w:rFonts w:ascii="Liberation Serif" w:hAnsi="Liberation Serif" w:eastAsia="DejaVu Sans" w:cs="DejaVu Sans"/>
          <w:b/>
          <w:sz w:val="24"/>
          <w:szCs w:val="24"/>
          <w:lang w:val="en-US" w:eastAsia="en-US" w:bidi="en-US"/>
        </w:rPr>
        <w:t>should not include:</w:t>
      </w:r>
    </w:p>
    <w:p>
      <w:r>
        <w:rPr>
          <w:rFonts w:ascii="Liberation Serif" w:hAnsi="Liberation Serif" w:eastAsia="DejaVu Sans" w:cs="DejaVu Sans"/>
          <w:sz w:val="24"/>
          <w:szCs w:val="24"/>
          <w:lang w:val="en-US" w:eastAsia="en-US" w:bidi="en-US"/>
        </w:rPr>
        <w:t>follow-up experiments aimed at testing or supporting an interpretation of the data</w:t>
      </w:r>
    </w:p>
    <w:p>
      <w:r>
        <w:rPr>
          <w:rFonts w:ascii="Liberation Serif" w:hAnsi="Liberation Serif" w:eastAsia="DejaVu Sans" w:cs="DejaVu Sans"/>
          <w:sz w:val="24"/>
          <w:szCs w:val="24"/>
          <w:lang w:val="en-US" w:eastAsia="en-US" w:bidi="en-US"/>
        </w:rPr>
        <w:t>statistical hypothesis testing (e.g. tests of statistical significance, identifying differentially expressed genes, trend analysis, etc.)</w:t>
      </w:r>
    </w:p>
    <w:p>
      <w:r>
        <w:rPr>
          <w:rFonts w:ascii="Liberation Serif" w:hAnsi="Liberation Serif" w:eastAsia="DejaVu Sans" w:cs="DejaVu Sans"/>
          <w:sz w:val="24"/>
          <w:szCs w:val="24"/>
          <w:lang w:val="en-US" w:eastAsia="en-US" w:bidi="en-US"/>
        </w:rPr>
        <w:t>exploratory computational analyses like clustering and annotation enrichment (e.g. GO analysis).</w:t>
      </w:r>
    </w:p>
  </w:comment>
  <w:comment w:id="21" w:author="Sari Peura" w:date="2019-10-30T08:33:00Z" w:initials="SP">
    <w:p>
      <w:r>
        <w:rPr>
          <w:rFonts w:ascii="Liberation Serif" w:hAnsi="Liberation Serif" w:eastAsia="DejaVu Sans" w:cs="DejaVu Sans"/>
          <w:sz w:val="24"/>
          <w:szCs w:val="24"/>
          <w:lang w:val="en-US" w:eastAsia="en-US" w:bidi="en-US"/>
        </w:rPr>
        <w:t>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code availability policy for advice on supplying custom code alongside Data Descriptor manuscripts.</w:t>
      </w:r>
    </w:p>
    <w:p>
      <w:r>
        <w:rPr>
          <w:rFonts w:ascii="Liberation Serif" w:hAnsi="Liberation Serif" w:eastAsia="DejaVu Sans" w:cs="DejaVu Sans"/>
          <w:sz w:val="24"/>
          <w:szCs w:val="24"/>
          <w:lang w:val="en-US" w:eastAsia="en-US" w:bidi="en-U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22" w:author="Sari Peura" w:date="2019-10-30T08:33:00Z" w:initials="SP">
    <w:p>
      <w:r>
        <w:rPr>
          <w:rFonts w:ascii="Liberation Serif" w:hAnsi="Liberation Serif" w:eastAsia="DejaVu Sans" w:cs="DejaVu Sans"/>
          <w:sz w:val="24"/>
          <w:szCs w:val="24"/>
          <w:lang w:val="en-US" w:eastAsia="en-US" w:bidi="en-US"/>
        </w:rP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r>
        <w:rPr>
          <w:rFonts w:ascii="Liberation Serif" w:hAnsi="Liberation Serif" w:eastAsia="DejaVu Sans" w:cs="DejaVu Sans"/>
          <w:sz w:val="24"/>
          <w:szCs w:val="24"/>
          <w:lang w:val="en-US" w:eastAsia="en-US" w:bidi="en-US"/>
        </w:rPr>
      </w:r>
    </w:p>
  </w:comment>
  <w:comment w:id="23" w:author="Sari Peura" w:date="2019-10-29T16:11:00Z" w:initials="SP">
    <w:p>
      <w:r>
        <w:rPr>
          <w:rFonts w:ascii="Liberation Serif" w:hAnsi="Liberation Serif" w:eastAsia="DejaVu Sans" w:cs="DejaVu Sans"/>
          <w:sz w:val="24"/>
          <w:szCs w:val="24"/>
          <w:lang w:val="en-US" w:eastAsia="en-US" w:bidi="en-US"/>
        </w:rPr>
        <w:t>The Acknowledgements should contain text acknowledging non-author contributors. Acknowledgements should be brief, and should not include thanks to anonymous referees and editors or effusive comments. Grant or contribution numbers may be acknowledged.</w:t>
      </w:r>
    </w:p>
  </w:comment>
  <w:comment w:id="24" w:author="Sari Peura" w:date="2019-10-30T08:26:00Z" w:initials="SP">
    <w:p>
      <w:r>
        <w:rPr>
          <w:rFonts w:ascii="Liberation Serif" w:hAnsi="Liberation Serif" w:eastAsia="DejaVu Sans" w:cs="DejaVu Sans"/>
          <w:sz w:val="24"/>
          <w:szCs w:val="24"/>
          <w:lang w:val="en-US" w:eastAsia="en-US" w:bidi="en-US"/>
        </w:rPr>
        <w:t>Sanni, Maxime, Christian, and Karolina here? Till and Raven here or author list?</w:t>
      </w:r>
    </w:p>
  </w:comment>
  <w:comment w:id="25" w:author="Sari Peura" w:date="2019-10-29T16:15:00Z" w:initials="SP">
    <w:p>
      <w:r>
        <w:rPr>
          <w:rFonts w:ascii="Liberation Serif" w:hAnsi="Liberation Serif" w:eastAsia="DejaVu Sans" w:cs="DejaVu Sans"/>
          <w:sz w:val="24"/>
          <w:szCs w:val="24"/>
          <w:lang w:val="en-US" w:eastAsia="en-US" w:bidi="en-US"/>
        </w:rPr>
        <w:t>I´ve thanked them already in previous ms, maybe not needed here?</w:t>
      </w:r>
    </w:p>
  </w:comment>
  <w:comment w:id="26" w:author="Sari Peura" w:date="2019-10-30T08:30:00Z" w:initials="SP">
    <w:p>
      <w:r>
        <w:rPr>
          <w:rFonts w:ascii="Liberation Serif" w:hAnsi="Liberation Serif" w:eastAsia="DejaVu Sans" w:cs="DejaVu Sans"/>
          <w:sz w:val="24"/>
          <w:szCs w:val="24"/>
          <w:lang w:val="en-US" w:eastAsia="en-US" w:bidi="en-US"/>
        </w:rPr>
        <w:t xml:space="preserve">Each author’s contribution to the work should be described briefly, on a separate line, in the Author Contributions section.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4904734"/>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3a5f03"/>
    <w:pPr>
      <w:widowControl/>
      <w:bidi w:val="0"/>
      <w:jc w:val="both"/>
    </w:pPr>
    <w:rPr>
      <w:rFonts w:ascii="Calibri" w:hAnsi="Calibri" w:eastAsia="Times New Roman" w:cs="Times New Roman"/>
      <w:color w:val="auto"/>
      <w:kern w:val="0"/>
      <w:sz w:val="22"/>
      <w:szCs w:val="22"/>
      <w:lang w:val="en-GB" w:eastAsia="en-GB" w:bidi="ar-SA"/>
    </w:rPr>
  </w:style>
  <w:style w:type="paragraph" w:styleId="Heading1">
    <w:name w:val="Heading 1"/>
    <w:basedOn w:val="Normal"/>
    <w:next w:val="Normal"/>
    <w:qFormat/>
    <w:rsid w:val="00c658ac"/>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f1ae9"/>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qFormat/>
    <w:rsid w:val="00c658ac"/>
    <w:rPr>
      <w:sz w:val="16"/>
      <w:szCs w:val="16"/>
    </w:rPr>
  </w:style>
  <w:style w:type="character" w:styleId="CommentTextChar" w:customStyle="1">
    <w:name w:val="Comment Text Char"/>
    <w:link w:val="CommentText"/>
    <w:qFormat/>
    <w:rsid w:val="00c658ac"/>
    <w:rPr>
      <w:lang w:val="en-GB" w:eastAsia="en-GB" w:bidi="ar-SA"/>
    </w:rPr>
  </w:style>
  <w:style w:type="character" w:styleId="InternetLink">
    <w:name w:val="Internet Link"/>
    <w:rsid w:val="00cb5d65"/>
    <w:rPr>
      <w:color w:val="0000FF"/>
      <w:u w:val="single"/>
    </w:rPr>
  </w:style>
  <w:style w:type="character" w:styleId="Strong">
    <w:name w:val="Strong"/>
    <w:qFormat/>
    <w:rsid w:val="009c53aa"/>
    <w:rPr>
      <w:b/>
      <w:bCs/>
    </w:rPr>
  </w:style>
  <w:style w:type="character" w:styleId="Journaltitle" w:customStyle="1">
    <w:name w:val="journal-title"/>
    <w:qFormat/>
    <w:rsid w:val="00fc18ab"/>
    <w:rPr/>
  </w:style>
  <w:style w:type="character" w:styleId="CommentSubjectChar" w:customStyle="1">
    <w:name w:val="Comment Subject Char"/>
    <w:link w:val="CommentSubject"/>
    <w:qFormat/>
    <w:rsid w:val="007879d9"/>
    <w:rPr>
      <w:rFonts w:ascii="Calibri" w:hAnsi="Calibri"/>
      <w:b/>
      <w:bCs/>
      <w:lang w:val="en-GB" w:eastAsia="en-GB" w:bidi="ar-SA"/>
    </w:rPr>
  </w:style>
  <w:style w:type="character" w:styleId="Fn" w:customStyle="1">
    <w:name w:val="fn"/>
    <w:basedOn w:val="DefaultParagraphFont"/>
    <w:qFormat/>
    <w:rsid w:val="00742a20"/>
    <w:rPr/>
  </w:style>
  <w:style w:type="character" w:styleId="Year" w:customStyle="1">
    <w:name w:val="year"/>
    <w:basedOn w:val="DefaultParagraphFont"/>
    <w:qFormat/>
    <w:rsid w:val="00742a20"/>
    <w:rPr/>
  </w:style>
  <w:style w:type="character" w:styleId="FollowedHyperlink">
    <w:name w:val="FollowedHyperlink"/>
    <w:qFormat/>
    <w:rsid w:val="00396f60"/>
    <w:rPr>
      <w:color w:val="800080"/>
      <w:u w:val="single"/>
    </w:rPr>
  </w:style>
  <w:style w:type="character" w:styleId="HeaderChar" w:customStyle="1">
    <w:name w:val="Header Char"/>
    <w:basedOn w:val="DefaultParagraphFont"/>
    <w:link w:val="Header"/>
    <w:qFormat/>
    <w:rsid w:val="007d356c"/>
    <w:rPr>
      <w:rFonts w:ascii="Calibri" w:hAnsi="Calibri"/>
      <w:sz w:val="22"/>
      <w:szCs w:val="22"/>
    </w:rPr>
  </w:style>
  <w:style w:type="character" w:styleId="FooterChar" w:customStyle="1">
    <w:name w:val="Footer Char"/>
    <w:basedOn w:val="DefaultParagraphFont"/>
    <w:link w:val="Footer"/>
    <w:uiPriority w:val="99"/>
    <w:qFormat/>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qFormat/>
    <w:rsid w:val="00c658ac"/>
    <w:pPr/>
    <w:rPr>
      <w:sz w:val="20"/>
      <w:szCs w:val="20"/>
    </w:rPr>
  </w:style>
  <w:style w:type="paragraph" w:styleId="BalloonText">
    <w:name w:val="Balloon Text"/>
    <w:basedOn w:val="Normal"/>
    <w:semiHidden/>
    <w:qFormat/>
    <w:rsid w:val="00c658ac"/>
    <w:pPr/>
    <w:rPr>
      <w:rFonts w:ascii="Tahoma" w:hAnsi="Tahoma" w:cs="Tahoma"/>
      <w:sz w:val="16"/>
      <w:szCs w:val="16"/>
    </w:rPr>
  </w:style>
  <w:style w:type="paragraph" w:styleId="NormalWeb">
    <w:name w:val="Normal (Web)"/>
    <w:basedOn w:val="Normal"/>
    <w:uiPriority w:val="99"/>
    <w:qFormat/>
    <w:rsid w:val="007f1ae9"/>
    <w:pPr>
      <w:spacing w:beforeAutospacing="1" w:afterAutospacing="1"/>
    </w:pPr>
    <w:rPr/>
  </w:style>
  <w:style w:type="paragraph" w:styleId="Annotationsubject">
    <w:name w:val="annotation subject"/>
    <w:basedOn w:val="Annotationtext"/>
    <w:next w:val="Annotationtext"/>
    <w:link w:val="CommentSubjectChar"/>
    <w:qFormat/>
    <w:rsid w:val="007879d9"/>
    <w:pPr/>
    <w:rPr>
      <w:b/>
      <w:bCs/>
    </w:rPr>
  </w:style>
  <w:style w:type="paragraph" w:styleId="ColorfulListAccent11" w:customStyle="1">
    <w:name w:val="Colorful List - Accent 11"/>
    <w:basedOn w:val="Normal"/>
    <w:uiPriority w:val="34"/>
    <w:qFormat/>
    <w:rsid w:val="00742a2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rsid w:val="007d356c"/>
    <w:pPr>
      <w:tabs>
        <w:tab w:val="clear" w:pos="720"/>
        <w:tab w:val="center" w:pos="4513" w:leader="none"/>
        <w:tab w:val="right" w:pos="9026" w:leader="none"/>
      </w:tabs>
    </w:pPr>
    <w:rPr/>
  </w:style>
  <w:style w:type="paragraph" w:styleId="Footer">
    <w:name w:val="Footer"/>
    <w:basedOn w:val="Normal"/>
    <w:link w:val="FooterChar"/>
    <w:uiPriority w:val="99"/>
    <w:rsid w:val="007d356c"/>
    <w:pPr>
      <w:tabs>
        <w:tab w:val="clear" w:pos="720"/>
        <w:tab w:val="center" w:pos="4513" w:leader="none"/>
        <w:tab w:val="right" w:pos="9026" w:leader="none"/>
      </w:tabs>
    </w:pPr>
    <w:rPr/>
  </w:style>
  <w:style w:type="paragraph" w:styleId="ListParagraph">
    <w:name w:val="List Paragraph"/>
    <w:basedOn w:val="Normal"/>
    <w:uiPriority w:val="34"/>
    <w:qFormat/>
    <w:rsid w:val="00552feb"/>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ri.peura@slu.se)" TargetMode="External"/><Relationship Id="rId3" Type="http://schemas.openxmlformats.org/officeDocument/2006/relationships/hyperlink" Target="https://www.nature.com/articles/sdata2018259" TargetMode="External"/><Relationship Id="rId4" Type="http://schemas.openxmlformats.org/officeDocument/2006/relationships/hyperlink" Target="https://www.nature.com/articles/sdata2018259" TargetMode="External"/><Relationship Id="rId5" Type="http://schemas.openxmlformats.org/officeDocument/2006/relationships/hyperlink" Target="https://identifiers.org/" TargetMode="External"/><Relationship Id="rId6" Type="http://schemas.openxmlformats.org/officeDocument/2006/relationships/hyperlink" Target="https://doi.org/10.6084/m9.figshare.c.4064768.v3" TargetMode="External"/><Relationship Id="rId7" Type="http://schemas.openxmlformats.org/officeDocument/2006/relationships/hyperlink" Target="http://identifiers.org/ncbi/insdc.sra:SRP121625" TargetMode="External"/><Relationship Id="rId8" Type="http://schemas.openxmlformats.org/officeDocument/2006/relationships/hyperlink" Target="http://identifiers.org/ncbi/insdc:PKMF00000000" TargetMode="External"/><Relationship Id="rId9" Type="http://schemas.openxmlformats.org/officeDocument/2006/relationships/hyperlink" Target="http://trace.ddbj.nig.ac.jp/DRASearch/submission?acc=DRA004814" TargetMode="External"/><Relationship Id="rId10" Type="http://schemas.openxmlformats.org/officeDocument/2006/relationships/hyperlink" Target="http://www.nature.com/sdata/publish/submission-guidelines" TargetMode="External"/><Relationship Id="rId11" Type="http://schemas.openxmlformats.org/officeDocument/2006/relationships/hyperlink" Target="http://www.nature.com/sdata/policies/repositories" TargetMode="Externa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DB7BA-97AE-AE4D-9C0B-F098538D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Application>LibreOffice/6.3.3.2$Linux_X86_64 LibreOffice_project/30$Build-2</Application>
  <Pages>9</Pages>
  <Words>2992</Words>
  <Characters>17101</Characters>
  <CharactersWithSpaces>19903</CharactersWithSpaces>
  <Paragraphs>201</Paragraphs>
  <Company>Macmillan Publishing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2019-10-29T10:36:00Z</dcterms:created>
  <dc:creator>andrew.hufton</dc:creator>
  <dc:description/>
  <dc:language>en-US</dc:language>
  <cp:lastModifiedBy/>
  <dcterms:modified xsi:type="dcterms:W3CDTF">2019-11-29T09:04:55Z</dcterms:modified>
  <cp:revision>85</cp:revision>
  <dc:subject/>
  <dc:title>Data Descriptor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Macmillan Publishing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