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 Cód:</w:t>
      </w:r>
      <w:r>
        <w:rPr>
          <w:rFonts w:hint="default" w:ascii="Calibri Light" w:hAnsi="Calibri Light"/>
          <w:b/>
          <w:bCs/>
          <w:sz w:val="28"/>
          <w:szCs w:val="28"/>
        </w:rPr>
        <w:t>FX.11.145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 xml:space="preserve"> 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RIBBON AFASTADOR, MALEAVEL, 17X200MM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Fabricado: Fentex Surgical LLC - 6151 W 24th Street nº107, Hialeah, Florida, 33106, EUA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 - Fabricado no Paquistão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 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D82C7E"/>
    <w:rsid w:val="03FE411B"/>
    <w:rsid w:val="0C5B248C"/>
    <w:rsid w:val="2B8A70D6"/>
    <w:rsid w:val="38A20DF8"/>
    <w:rsid w:val="3E0075B5"/>
    <w:rsid w:val="4EBB579E"/>
    <w:rsid w:val="50DF70CD"/>
    <w:rsid w:val="613926F9"/>
    <w:rsid w:val="62394A0C"/>
    <w:rsid w:val="73443486"/>
    <w:rsid w:val="73AD6D5B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0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2025-07-30T14:07:00Z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